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200"/>
      </w:pPr>
      <w:r>
        <w:rPr>
          <w:rFonts w:ascii="Calibri" w:cs="Calibri" w:eastAsia="Calibri" w:hAnsi="Calibri"/>
          <w:b/>
          <w:bCs/>
          <w:color w:val="007FA0"/>
          <w:spacing w:val="20"/>
          <w:sz w:val="20"/>
          <w:szCs w:val="20"/>
        </w:rPr>
        <w:t xml:space="preserve">ECAHLI GLOBAL PROCUREMENT PROGRAMME — GOVERNANCE DOCUMENT</w:t>
      </w:r>
    </w:p>
    <w:p>
      <w:pPr>
        <w:spacing w:after="240"/>
      </w:pPr>
      <w:r>
        <w:rPr>
          <w:rFonts w:ascii="Georgia" w:cs="Georgia" w:eastAsia="Georgia" w:hAnsi="Georgia"/>
          <w:b/>
          <w:bCs/>
          <w:color w:val="001F3F"/>
          <w:sz w:val="52"/>
          <w:szCs w:val="52"/>
        </w:rPr>
        <w:t xml:space="preserve">Tender Evaluation Policy</w:t>
      </w:r>
    </w:p>
    <w:tbl>
      <w:tblPr>
        <w:tblW w:type="pct" w:w="100%"/>
        <w:tblBorders>
          <w:top w:val="single" w:color="D9E2E8" w:sz="4"/>
          <w:left w:val="none"/>
          <w:bottom w:val="single" w:color="D9E2E8" w:sz="4"/>
          <w:right w:val="none"/>
          <w:insideH w:val="none"/>
          <w:insideV w:val="none"/>
        </w:tblBorders>
      </w:tblPr>
      <w:tblGrid>
        <w:gridCol w:w="100"/>
        <w:gridCol w:w="100"/>
        <w:gridCol w:w="100"/>
        <w:gridCol w:w="100"/>
      </w:tblGrid>
      <w:tr>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POLICY NUMBER</w:t>
            </w:r>
          </w:p>
          <w:p>
            <w:r>
              <w:rPr>
                <w:rFonts w:ascii="Calibri" w:cs="Calibri" w:eastAsia="Calibri" w:hAnsi="Calibri"/>
                <w:color w:val="001F3F"/>
                <w:sz w:val="17"/>
                <w:szCs w:val="17"/>
              </w:rPr>
              <w:t xml:space="preserve">ECAHLI-PROC-02</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EFFECTIVE DATE</w:t>
            </w:r>
          </w:p>
          <w:p>
            <w:r>
              <w:rPr>
                <w:rFonts w:ascii="Calibri" w:cs="Calibri" w:eastAsia="Calibri" w:hAnsi="Calibri"/>
                <w:color w:val="001F3F"/>
                <w:sz w:val="17"/>
                <w:szCs w:val="17"/>
              </w:rPr>
              <w:t xml:space="preserve">1 August 2026</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VERSION</w:t>
            </w:r>
          </w:p>
          <w:p>
            <w:r>
              <w:rPr>
                <w:rFonts w:ascii="Calibri" w:cs="Calibri" w:eastAsia="Calibri" w:hAnsi="Calibri"/>
                <w:color w:val="001F3F"/>
                <w:sz w:val="17"/>
                <w:szCs w:val="17"/>
              </w:rPr>
              <w:t xml:space="preserve">1.0</w:t>
            </w:r>
          </w:p>
        </w:tc>
        <w:tc>
          <w:tcPr>
            <w:tcW w:type="pct" w:w="25%"/>
            <w:tcMar>
              <w:top w:type="dxa" w:w="160"/>
              <w:left w:type="dxa" w:w="0"/>
              <w:bottom w:type="dxa" w:w="160"/>
              <w:right w:type="dxa" w:w="120"/>
            </w:tcMar>
          </w:tcPr>
          <w:p>
            <w:pPr>
              <w:spacing w:after="40"/>
            </w:pPr>
            <w:r>
              <w:rPr>
                <w:rFonts w:ascii="Calibri" w:cs="Calibri" w:eastAsia="Calibri" w:hAnsi="Calibri"/>
                <w:b/>
                <w:bCs/>
                <w:color w:val="007FA0"/>
                <w:spacing w:val="10"/>
                <w:sz w:val="13"/>
                <w:szCs w:val="13"/>
              </w:rPr>
              <w:t xml:space="preserve">APPROVED BY</w:t>
            </w:r>
          </w:p>
          <w:p>
            <w:r>
              <w:rPr>
                <w:rFonts w:ascii="Calibri" w:cs="Calibri" w:eastAsia="Calibri" w:hAnsi="Calibri"/>
                <w:color w:val="001F3F"/>
                <w:sz w:val="17"/>
                <w:szCs w:val="17"/>
              </w:rPr>
              <w:t xml:space="preserve">P. J. van der Merwe, Founder &amp; Lifelong Chair</w:t>
            </w:r>
          </w:p>
        </w:tc>
      </w:tr>
    </w:tbl>
    <w:p>
      <w:pPr>
        <w:pBdr>
          <w:left w:val="single" w:color="C9A24C" w:sz="24" w:space="8"/>
        </w:pBdr>
        <w:shd w:fill="FFF8E6" w:val="clear"/>
        <w:spacing w:after="360" w:before="140"/>
      </w:pPr>
      <w:r>
        <w:rPr>
          <w:rFonts w:ascii="Calibri" w:cs="Calibri" w:eastAsia="Calibri" w:hAnsi="Calibri"/>
          <w:b/>
          <w:bCs/>
          <w:color w:val="8A6A1F"/>
          <w:sz w:val="17"/>
          <w:szCs w:val="17"/>
        </w:rPr>
        <w:t xml:space="preserve">LEGAL REVIEW STATUS: </w:t>
      </w:r>
      <w:r>
        <w:rPr>
          <w:rFonts w:ascii="Calibri" w:cs="Calibri" w:eastAsia="Calibri" w:hAnsi="Calibri"/>
          <w:color w:val="8A6A1F"/>
          <w:sz w:val="17"/>
          <w:szCs w:val="17"/>
        </w:rPr>
        <w:t xml:space="preserve">Draft — pending review by external counsel prior to formal adoption. Not yet binding.</w:t>
      </w:r>
    </w:p>
    <w:p>
      <w:pPr>
        <w:pStyle w:val="Heading1"/>
        <w:pBdr>
          <w:bottom w:val="single" w:color="D9E2E8" w:sz="4" w:space="4"/>
        </w:pBdr>
        <w:spacing w:after="140" w:before="320"/>
      </w:pPr>
      <w:r>
        <w:rPr>
          <w:rFonts w:ascii="Georgia" w:cs="Georgia" w:eastAsia="Georgia" w:hAnsi="Georgia"/>
          <w:b/>
          <w:bCs/>
          <w:color w:val="001F3F"/>
          <w:sz w:val="28"/>
          <w:szCs w:val="28"/>
        </w:rPr>
        <w:t xml:space="preserve">1. Purpose</w:t>
      </w:r>
    </w:p>
    <w:p>
      <w:pPr>
        <w:spacing w:after="160" w:line="280"/>
      </w:pPr>
      <w:r>
        <w:rPr>
          <w:rFonts w:ascii="Calibri" w:cs="Calibri" w:eastAsia="Calibri" w:hAnsi="Calibri"/>
          <w:i w:val="false"/>
          <w:iCs w:val="false"/>
          <w:color w:val="1A1A1A"/>
          <w:sz w:val="21"/>
          <w:szCs w:val="21"/>
        </w:rPr>
        <w:t xml:space="preserve">This Policy sets out the methodology, governance, and scoring framework used to evaluate bids submitted under the ECAHLI Global Procurement Programme, ensuring every award decision is consistent, defensible, and free from undue influence.</w:t>
      </w:r>
    </w:p>
    <w:p>
      <w:pPr>
        <w:pStyle w:val="Heading1"/>
        <w:pBdr>
          <w:bottom w:val="single" w:color="D9E2E8" w:sz="4" w:space="4"/>
        </w:pBdr>
        <w:spacing w:after="140" w:before="320"/>
      </w:pPr>
      <w:r>
        <w:rPr>
          <w:rFonts w:ascii="Georgia" w:cs="Georgia" w:eastAsia="Georgia" w:hAnsi="Georgia"/>
          <w:b/>
          <w:bCs/>
          <w:color w:val="001F3F"/>
          <w:sz w:val="28"/>
          <w:szCs w:val="28"/>
        </w:rPr>
        <w:t xml:space="preserve">2. The Tender Evaluation Committee</w:t>
      </w:r>
    </w:p>
    <w:p>
      <w:pPr>
        <w:spacing w:after="160" w:line="280"/>
      </w:pPr>
      <w:r>
        <w:rPr>
          <w:rFonts w:ascii="Calibri" w:cs="Calibri" w:eastAsia="Calibri" w:hAnsi="Calibri"/>
          <w:i w:val="false"/>
          <w:iCs w:val="false"/>
          <w:color w:val="1A1A1A"/>
          <w:sz w:val="21"/>
          <w:szCs w:val="21"/>
        </w:rPr>
        <w:t xml:space="preserve">Every tender above the Request for Quotation threshold is evaluated by a Tender Evaluation Committee (TEC) of no fewer than three members, convened for that specific procurement.</w:t>
      </w:r>
    </w:p>
    <w:p>
      <w:pPr>
        <w:pStyle w:val="ListParagraph"/>
        <w:numPr>
          <w:ilvl w:val="0"/>
          <w:numId w:val="2"/>
        </w:numPr>
        <w:spacing w:after="90" w:line="270"/>
      </w:pPr>
      <w:r>
        <w:rPr>
          <w:rFonts w:ascii="Calibri" w:cs="Calibri" w:eastAsia="Calibri" w:hAnsi="Calibri"/>
          <w:color w:val="1A1A1A"/>
          <w:sz w:val="21"/>
          <w:szCs w:val="21"/>
        </w:rPr>
        <w:t xml:space="preserve">The TEC includes at minimum: the Procurement &amp; Contracts Manager, a technical representative relevant to the scope of works, and one member independent of the requesting department.</w:t>
      </w:r>
    </w:p>
    <w:p>
      <w:pPr>
        <w:pStyle w:val="ListParagraph"/>
        <w:numPr>
          <w:ilvl w:val="0"/>
          <w:numId w:val="2"/>
        </w:numPr>
        <w:spacing w:after="90" w:line="270"/>
      </w:pPr>
      <w:r>
        <w:rPr>
          <w:rFonts w:ascii="Calibri" w:cs="Calibri" w:eastAsia="Calibri" w:hAnsi="Calibri"/>
          <w:color w:val="1A1A1A"/>
          <w:sz w:val="21"/>
          <w:szCs w:val="21"/>
        </w:rPr>
        <w:t xml:space="preserve">No TEC member may participate in the evaluation of a bid submitted by a party with whom they have a declared conflict of interest (see Conflict of Interest Policy).</w:t>
      </w:r>
    </w:p>
    <w:p>
      <w:pPr>
        <w:pStyle w:val="ListParagraph"/>
        <w:numPr>
          <w:ilvl w:val="0"/>
          <w:numId w:val="2"/>
        </w:numPr>
        <w:spacing w:after="90" w:line="270"/>
      </w:pPr>
      <w:r>
        <w:rPr>
          <w:rFonts w:ascii="Calibri" w:cs="Calibri" w:eastAsia="Calibri" w:hAnsi="Calibri"/>
          <w:color w:val="1A1A1A"/>
          <w:sz w:val="21"/>
          <w:szCs w:val="21"/>
        </w:rPr>
        <w:t xml:space="preserve">TEC composition and each member's declaration of independence are recorded in the evaluation file prior to bid opening.</w:t>
      </w:r>
    </w:p>
    <w:p>
      <w:pPr>
        <w:pStyle w:val="Heading1"/>
        <w:pBdr>
          <w:bottom w:val="single" w:color="D9E2E8" w:sz="4" w:space="4"/>
        </w:pBdr>
        <w:spacing w:after="140" w:before="320"/>
      </w:pPr>
      <w:r>
        <w:rPr>
          <w:rFonts w:ascii="Georgia" w:cs="Georgia" w:eastAsia="Georgia" w:hAnsi="Georgia"/>
          <w:b/>
          <w:bCs/>
          <w:color w:val="001F3F"/>
          <w:sz w:val="28"/>
          <w:szCs w:val="28"/>
        </w:rPr>
        <w:t xml:space="preserve">3. Two-Envelope Evaluation</w:t>
      </w:r>
    </w:p>
    <w:p>
      <w:pPr>
        <w:spacing w:after="160" w:line="280"/>
      </w:pPr>
      <w:r>
        <w:rPr>
          <w:rFonts w:ascii="Calibri" w:cs="Calibri" w:eastAsia="Calibri" w:hAnsi="Calibri"/>
          <w:i w:val="false"/>
          <w:iCs w:val="false"/>
          <w:color w:val="1A1A1A"/>
          <w:sz w:val="21"/>
          <w:szCs w:val="21"/>
        </w:rPr>
        <w:t xml:space="preserve">For all tenders and RFPs, technical and financial proposals are submitted and evaluated separately:</w:t>
      </w:r>
    </w:p>
    <w:p>
      <w:pPr>
        <w:pStyle w:val="ListParagraph"/>
        <w:numPr>
          <w:ilvl w:val="0"/>
          <w:numId w:val="2"/>
        </w:numPr>
        <w:spacing w:after="90" w:line="270"/>
      </w:pPr>
      <w:r>
        <w:rPr>
          <w:rFonts w:ascii="Calibri" w:cs="Calibri" w:eastAsia="Calibri" w:hAnsi="Calibri"/>
          <w:color w:val="1A1A1A"/>
          <w:sz w:val="21"/>
          <w:szCs w:val="21"/>
        </w:rPr>
        <w:t xml:space="preserve">Envelope One (Technical) is opened, scored, and finalised by the TEC before Envelope Two (Financial) is opened.</w:t>
      </w:r>
    </w:p>
    <w:p>
      <w:pPr>
        <w:pStyle w:val="ListParagraph"/>
        <w:numPr>
          <w:ilvl w:val="0"/>
          <w:numId w:val="2"/>
        </w:numPr>
        <w:spacing w:after="90" w:line="270"/>
      </w:pPr>
      <w:r>
        <w:rPr>
          <w:rFonts w:ascii="Calibri" w:cs="Calibri" w:eastAsia="Calibri" w:hAnsi="Calibri"/>
          <w:color w:val="1A1A1A"/>
          <w:sz w:val="21"/>
          <w:szCs w:val="21"/>
        </w:rPr>
        <w:t xml:space="preserve">Bidders that fail to meet the minimum technical score published in the tender documents are not eligible for financial evaluation.</w:t>
      </w:r>
    </w:p>
    <w:p>
      <w:pPr>
        <w:pStyle w:val="ListParagraph"/>
        <w:numPr>
          <w:ilvl w:val="0"/>
          <w:numId w:val="2"/>
        </w:numPr>
        <w:spacing w:after="90" w:line="270"/>
      </w:pPr>
      <w:r>
        <w:rPr>
          <w:rFonts w:ascii="Calibri" w:cs="Calibri" w:eastAsia="Calibri" w:hAnsi="Calibri"/>
          <w:color w:val="1A1A1A"/>
          <w:sz w:val="21"/>
          <w:szCs w:val="21"/>
        </w:rPr>
        <w:t xml:space="preserve">Financial scores are calculated using the formula published in the tender documents at the time of issue.</w:t>
      </w:r>
    </w:p>
    <w:p>
      <w:pPr>
        <w:pStyle w:val="Heading1"/>
        <w:pBdr>
          <w:bottom w:val="single" w:color="D9E2E8" w:sz="4" w:space="4"/>
        </w:pBdr>
        <w:spacing w:after="140" w:before="320"/>
      </w:pPr>
      <w:r>
        <w:rPr>
          <w:rFonts w:ascii="Georgia" w:cs="Georgia" w:eastAsia="Georgia" w:hAnsi="Georgia"/>
          <w:b/>
          <w:bCs/>
          <w:color w:val="001F3F"/>
          <w:sz w:val="28"/>
          <w:szCs w:val="28"/>
        </w:rPr>
        <w:t xml:space="preserve">4. Standard Scoring Weighting</w:t>
      </w:r>
    </w:p>
    <w:p>
      <w:pPr>
        <w:spacing w:after="160" w:line="280"/>
      </w:pPr>
      <w:r>
        <w:rPr>
          <w:rFonts w:ascii="Calibri" w:cs="Calibri" w:eastAsia="Calibri" w:hAnsi="Calibri"/>
          <w:i w:val="false"/>
          <w:iCs w:val="false"/>
          <w:color w:val="1A1A1A"/>
          <w:sz w:val="21"/>
          <w:szCs w:val="21"/>
        </w:rPr>
        <w:t xml:space="preserve">Unless otherwise stated in specific tender documents, the following default weighting applies:</w:t>
      </w:r>
    </w:p>
    <w:p>
      <w:pPr>
        <w:pStyle w:val="ListParagraph"/>
        <w:numPr>
          <w:ilvl w:val="0"/>
          <w:numId w:val="2"/>
        </w:numPr>
        <w:spacing w:after="90" w:line="270"/>
      </w:pPr>
      <w:r>
        <w:rPr>
          <w:rFonts w:ascii="Calibri" w:cs="Calibri" w:eastAsia="Calibri" w:hAnsi="Calibri"/>
          <w:color w:val="1A1A1A"/>
          <w:sz w:val="21"/>
          <w:szCs w:val="21"/>
        </w:rPr>
        <w:t xml:space="preserve">Technical capability and methodology — 40%</w:t>
      </w:r>
    </w:p>
    <w:p>
      <w:pPr>
        <w:pStyle w:val="ListParagraph"/>
        <w:numPr>
          <w:ilvl w:val="0"/>
          <w:numId w:val="2"/>
        </w:numPr>
        <w:spacing w:after="90" w:line="270"/>
      </w:pPr>
      <w:r>
        <w:rPr>
          <w:rFonts w:ascii="Calibri" w:cs="Calibri" w:eastAsia="Calibri" w:hAnsi="Calibri"/>
          <w:color w:val="1A1A1A"/>
          <w:sz w:val="21"/>
          <w:szCs w:val="21"/>
        </w:rPr>
        <w:t xml:space="preserve">Relevant experience and track record — 20%</w:t>
      </w:r>
    </w:p>
    <w:p>
      <w:pPr>
        <w:pStyle w:val="ListParagraph"/>
        <w:numPr>
          <w:ilvl w:val="0"/>
          <w:numId w:val="2"/>
        </w:numPr>
        <w:spacing w:after="90" w:line="270"/>
      </w:pPr>
      <w:r>
        <w:rPr>
          <w:rFonts w:ascii="Calibri" w:cs="Calibri" w:eastAsia="Calibri" w:hAnsi="Calibri"/>
          <w:color w:val="1A1A1A"/>
          <w:sz w:val="21"/>
          <w:szCs w:val="21"/>
        </w:rPr>
        <w:t xml:space="preserve">Financial proposal — 30%</w:t>
      </w:r>
    </w:p>
    <w:p>
      <w:pPr>
        <w:pStyle w:val="ListParagraph"/>
        <w:numPr>
          <w:ilvl w:val="0"/>
          <w:numId w:val="2"/>
        </w:numPr>
        <w:spacing w:after="90" w:line="270"/>
      </w:pPr>
      <w:r>
        <w:rPr>
          <w:rFonts w:ascii="Calibri" w:cs="Calibri" w:eastAsia="Calibri" w:hAnsi="Calibri"/>
          <w:color w:val="1A1A1A"/>
          <w:sz w:val="21"/>
          <w:szCs w:val="21"/>
        </w:rPr>
        <w:t xml:space="preserve">ESG, sustainability, and local content commitments — 10%</w:t>
      </w:r>
    </w:p>
    <w:p>
      <w:pPr>
        <w:pStyle w:val="Heading1"/>
        <w:pBdr>
          <w:bottom w:val="single" w:color="D9E2E8" w:sz="4" w:space="4"/>
        </w:pBdr>
        <w:spacing w:after="140" w:before="320"/>
      </w:pPr>
      <w:r>
        <w:rPr>
          <w:rFonts w:ascii="Georgia" w:cs="Georgia" w:eastAsia="Georgia" w:hAnsi="Georgia"/>
          <w:b/>
          <w:bCs/>
          <w:color w:val="001F3F"/>
          <w:sz w:val="28"/>
          <w:szCs w:val="28"/>
        </w:rPr>
        <w:t xml:space="preserve">5. Evaluation Process</w:t>
      </w:r>
    </w:p>
    <w:p>
      <w:pPr>
        <w:pStyle w:val="ListParagraph"/>
        <w:numPr>
          <w:ilvl w:val="0"/>
          <w:numId w:val="2"/>
        </w:numPr>
        <w:spacing w:after="90" w:line="270"/>
      </w:pPr>
      <w:r>
        <w:rPr>
          <w:rFonts w:ascii="Calibri" w:cs="Calibri" w:eastAsia="Calibri" w:hAnsi="Calibri"/>
          <w:color w:val="1A1A1A"/>
          <w:sz w:val="21"/>
          <w:szCs w:val="21"/>
        </w:rPr>
        <w:t xml:space="preserve">Each TEC member scores bids independently against the published criteria before any group discussion takes place.</w:t>
      </w:r>
    </w:p>
    <w:p>
      <w:pPr>
        <w:pStyle w:val="ListParagraph"/>
        <w:numPr>
          <w:ilvl w:val="0"/>
          <w:numId w:val="2"/>
        </w:numPr>
        <w:spacing w:after="90" w:line="270"/>
      </w:pPr>
      <w:r>
        <w:rPr>
          <w:rFonts w:ascii="Calibri" w:cs="Calibri" w:eastAsia="Calibri" w:hAnsi="Calibri"/>
          <w:color w:val="1A1A1A"/>
          <w:sz w:val="21"/>
          <w:szCs w:val="21"/>
        </w:rPr>
        <w:t xml:space="preserve">Individual scores are consolidated and any variance greater than 20% between evaluators on a single criterion is discussed and resolved with reasons recorded.</w:t>
      </w:r>
    </w:p>
    <w:p>
      <w:pPr>
        <w:pStyle w:val="ListParagraph"/>
        <w:numPr>
          <w:ilvl w:val="0"/>
          <w:numId w:val="2"/>
        </w:numPr>
        <w:spacing w:after="90" w:line="270"/>
      </w:pPr>
      <w:r>
        <w:rPr>
          <w:rFonts w:ascii="Calibri" w:cs="Calibri" w:eastAsia="Calibri" w:hAnsi="Calibri"/>
          <w:color w:val="1A1A1A"/>
          <w:sz w:val="21"/>
          <w:szCs w:val="21"/>
        </w:rPr>
        <w:t xml:space="preserve">A consolidated evaluation report, including individual scoresheets, is prepared for every tender and retained for a minimum of seven years.</w:t>
      </w:r>
    </w:p>
    <w:p>
      <w:pPr>
        <w:pStyle w:val="ListParagraph"/>
        <w:numPr>
          <w:ilvl w:val="0"/>
          <w:numId w:val="2"/>
        </w:numPr>
        <w:spacing w:after="90" w:line="270"/>
      </w:pPr>
      <w:r>
        <w:rPr>
          <w:rFonts w:ascii="Calibri" w:cs="Calibri" w:eastAsia="Calibri" w:hAnsi="Calibri"/>
          <w:color w:val="1A1A1A"/>
          <w:sz w:val="21"/>
          <w:szCs w:val="21"/>
        </w:rPr>
        <w:t xml:space="preserve">The TEC's recommendation is submitted to the appropriate delegated authority (see Procurement Policy, Section 5) for final approval.</w:t>
      </w:r>
    </w:p>
    <w:p>
      <w:pPr>
        <w:pStyle w:val="Heading1"/>
        <w:pBdr>
          <w:bottom w:val="single" w:color="D9E2E8" w:sz="4" w:space="4"/>
        </w:pBdr>
        <w:spacing w:after="140" w:before="320"/>
      </w:pPr>
      <w:r>
        <w:rPr>
          <w:rFonts w:ascii="Georgia" w:cs="Georgia" w:eastAsia="Georgia" w:hAnsi="Georgia"/>
          <w:b/>
          <w:bCs/>
          <w:color w:val="001F3F"/>
          <w:sz w:val="28"/>
          <w:szCs w:val="28"/>
        </w:rPr>
        <w:t xml:space="preserve">6. Clarifications</w:t>
      </w:r>
    </w:p>
    <w:p>
      <w:pPr>
        <w:spacing w:after="160" w:line="280"/>
      </w:pPr>
      <w:r>
        <w:rPr>
          <w:rFonts w:ascii="Calibri" w:cs="Calibri" w:eastAsia="Calibri" w:hAnsi="Calibri"/>
          <w:i w:val="false"/>
          <w:iCs w:val="false"/>
          <w:color w:val="1A1A1A"/>
          <w:sz w:val="21"/>
          <w:szCs w:val="21"/>
        </w:rPr>
        <w:t xml:space="preserve">The TEC may request written clarification from a bidder on any aspect of a submitted bid. Clarification requests and responses are logged and shared with all TEC members. Clarifications may not be used to allow a bidder to materially alter their technical or financial offer after the submission deadline.</w:t>
      </w:r>
    </w:p>
    <w:p>
      <w:pPr>
        <w:pStyle w:val="Heading1"/>
        <w:pBdr>
          <w:bottom w:val="single" w:color="D9E2E8" w:sz="4" w:space="4"/>
        </w:pBdr>
        <w:spacing w:after="140" w:before="320"/>
      </w:pPr>
      <w:r>
        <w:rPr>
          <w:rFonts w:ascii="Georgia" w:cs="Georgia" w:eastAsia="Georgia" w:hAnsi="Georgia"/>
          <w:b/>
          <w:bCs/>
          <w:color w:val="001F3F"/>
          <w:sz w:val="28"/>
          <w:szCs w:val="28"/>
        </w:rPr>
        <w:t xml:space="preserve">7. Notification and Debrief</w:t>
      </w:r>
    </w:p>
    <w:p>
      <w:pPr>
        <w:spacing w:after="160" w:line="280"/>
      </w:pPr>
      <w:r>
        <w:rPr>
          <w:rFonts w:ascii="Calibri" w:cs="Calibri" w:eastAsia="Calibri" w:hAnsi="Calibri"/>
          <w:i w:val="false"/>
          <w:iCs w:val="false"/>
          <w:color w:val="1A1A1A"/>
          <w:sz w:val="21"/>
          <w:szCs w:val="21"/>
        </w:rPr>
        <w:t xml:space="preserve">All bidders are notified in writing of the outcome of a tender. Unsuccessful bidders may request a debrief on their own evaluation scores within 14 days of notification, subject to ECAHLI's Procurement Appeals Procedure.</w:t>
      </w:r>
    </w:p>
    <w:p>
      <w:pPr>
        <w:pStyle w:val="Heading1"/>
        <w:pBdr>
          <w:bottom w:val="single" w:color="D9E2E8" w:sz="4" w:space="4"/>
        </w:pBdr>
        <w:spacing w:after="140" w:before="320"/>
      </w:pPr>
      <w:r>
        <w:rPr>
          <w:rFonts w:ascii="Georgia" w:cs="Georgia" w:eastAsia="Georgia" w:hAnsi="Georgia"/>
          <w:b/>
          <w:bCs/>
          <w:color w:val="001F3F"/>
          <w:sz w:val="28"/>
          <w:szCs w:val="28"/>
        </w:rPr>
        <w:t xml:space="preserve">8. Review</w:t>
      </w:r>
    </w:p>
    <w:p>
      <w:pPr>
        <w:spacing w:after="160" w:line="280"/>
      </w:pPr>
      <w:r>
        <w:rPr>
          <w:rFonts w:ascii="Calibri" w:cs="Calibri" w:eastAsia="Calibri" w:hAnsi="Calibri"/>
          <w:i w:val="false"/>
          <w:iCs w:val="false"/>
          <w:color w:val="1A1A1A"/>
          <w:sz w:val="21"/>
          <w:szCs w:val="21"/>
        </w:rPr>
        <w:t xml:space="preserve">This Policy is reviewed annually by the Board.</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E2E8" w:sz="4" w:space="6"/>
      </w:pBdr>
      <w:spacing w:before="100"/>
    </w:pPr>
    <w:r>
      <w:rPr>
        <w:rFonts w:ascii="Calibri" w:cs="Calibri" w:eastAsia="Calibri" w:hAnsi="Calibri"/>
        <w:color w:val="52707F"/>
        <w:sz w:val="15"/>
        <w:szCs w:val="15"/>
      </w:rPr>
      <w:t xml:space="preserve">ECAHLI Global Holdings · Dutch Stichting · tenders.africa@ecahli.com</w:t>
    </w:r>
  </w:p>
  <w:p>
    <w:pPr>
      <w:jc w:val="right"/>
    </w:pPr>
    <w:r>
      <w:rPr>
        <w:rFonts w:ascii="Calibri" w:cs="Calibri" w:eastAsia="Calibri" w:hAnsi="Calibri"/>
        <w:color w:val="52707F"/>
        <w:sz w:val="15"/>
        <w:szCs w:val="15"/>
      </w:rPr>
      <w:t xml:space="preserve">Page </w:t>
    </w:r>
    <w:r>
      <w:rPr>
        <w:rFonts w:ascii="Calibri" w:cs="Calibri" w:eastAsia="Calibri" w:hAnsi="Calibri"/>
        <w:color w:val="52707F"/>
        <w:sz w:val="15"/>
        <w:szCs w:val="15"/>
      </w:rPr>
      <w:fldChar w:fldCharType="begin"/>
      <w:instrText xml:space="preserve">PAGE</w:instrText>
      <w:fldChar w:fldCharType="separate"/>
      <w:fldChar w:fldCharType="end"/>
    </w:r>
    <w:r>
      <w:rPr>
        <w:rFonts w:ascii="Calibri" w:cs="Calibri" w:eastAsia="Calibri" w:hAnsi="Calibri"/>
        <w:color w:val="52707F"/>
        <w:sz w:val="15"/>
        <w:szCs w:val="15"/>
      </w:rPr>
      <w:t xml:space="preserve"> of </w:t>
    </w:r>
    <w:r>
      <w:rPr>
        <w:rFonts w:ascii="Calibri" w:cs="Calibri" w:eastAsia="Calibri" w:hAnsi="Calibri"/>
        <w:color w:val="52707F"/>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7FA0" w:sz="8" w:space="6"/>
      </w:pBdr>
      <w:spacing w:after="100"/>
    </w:pPr>
    <w:r>
      <w:rPr>
        <w:rFonts w:ascii="Georgia" w:cs="Georgia" w:eastAsia="Georgia" w:hAnsi="Georgia"/>
        <w:b/>
        <w:bCs/>
        <w:color w:val="001F3F"/>
        <w:sz w:val="16"/>
        <w:szCs w:val="16"/>
      </w:rPr>
      <w:t xml:space="preserve">ECAHLI GLOBAL HOLDINGS</w:t>
    </w:r>
    <w:r>
      <w:rPr>
        <w:rFonts w:ascii="Calibri" w:cs="Calibri" w:eastAsia="Calibri" w:hAnsi="Calibri"/>
        <w:color w:val="52707F"/>
        <w:sz w:val="16"/>
        <w:szCs w:val="16"/>
      </w:rPr>
      <w:t xml:space="preserve">   ·   Global Procurement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2026-07-07T21:52:22.639Z</dcterms:created>
  <dcterms:modified xsi:type="dcterms:W3CDTF">2026-07-07T21:52:22.639Z</dcterms:modified>
</cp:coreProperties>
</file>

<file path=docProps/custom.xml><?xml version="1.0" encoding="utf-8"?>
<Properties xmlns="http://schemas.openxmlformats.org/officeDocument/2006/custom-properties" xmlns:vt="http://schemas.openxmlformats.org/officeDocument/2006/docPropsVTypes"/>
</file>