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pPr>
      <w:r>
        <w:rPr>
          <w:rFonts w:ascii="Calibri" w:cs="Calibri" w:eastAsia="Calibri" w:hAnsi="Calibri"/>
          <w:b/>
          <w:bCs/>
          <w:color w:val="007FA0"/>
          <w:spacing w:val="20"/>
          <w:sz w:val="20"/>
          <w:szCs w:val="20"/>
        </w:rPr>
        <w:t xml:space="preserve">ECAHLI GLOBAL PROCUREMENT PROGRAMME — GOVERNANCE DOCUMENT</w:t>
      </w:r>
    </w:p>
    <w:p>
      <w:pPr>
        <w:spacing w:after="240"/>
      </w:pPr>
      <w:r>
        <w:rPr>
          <w:rFonts w:ascii="Georgia" w:cs="Georgia" w:eastAsia="Georgia" w:hAnsi="Georgia"/>
          <w:b/>
          <w:bCs/>
          <w:color w:val="001F3F"/>
          <w:sz w:val="52"/>
          <w:szCs w:val="52"/>
        </w:rPr>
        <w:t xml:space="preserve">Procurement Policy</w:t>
      </w:r>
    </w:p>
    <w:tbl>
      <w:tblPr>
        <w:tblW w:type="pct" w:w="100%"/>
        <w:tblBorders>
          <w:top w:val="single" w:color="D9E2E8" w:sz="4"/>
          <w:left w:val="none"/>
          <w:bottom w:val="single" w:color="D9E2E8" w:sz="4"/>
          <w:right w:val="none"/>
          <w:insideH w:val="none"/>
          <w:insideV w:val="none"/>
        </w:tblBorders>
      </w:tblPr>
      <w:tblGrid>
        <w:gridCol w:w="100"/>
        <w:gridCol w:w="100"/>
        <w:gridCol w:w="100"/>
        <w:gridCol w:w="100"/>
      </w:tblGrid>
      <w:tr>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POLICY NUMBER</w:t>
            </w:r>
          </w:p>
          <w:p>
            <w:r>
              <w:rPr>
                <w:rFonts w:ascii="Calibri" w:cs="Calibri" w:eastAsia="Calibri" w:hAnsi="Calibri"/>
                <w:color w:val="001F3F"/>
                <w:sz w:val="17"/>
                <w:szCs w:val="17"/>
              </w:rPr>
              <w:t xml:space="preserve">ECAHLI-PROC-01</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EFFECTIVE DATE</w:t>
            </w:r>
          </w:p>
          <w:p>
            <w:r>
              <w:rPr>
                <w:rFonts w:ascii="Calibri" w:cs="Calibri" w:eastAsia="Calibri" w:hAnsi="Calibri"/>
                <w:color w:val="001F3F"/>
                <w:sz w:val="17"/>
                <w:szCs w:val="17"/>
              </w:rPr>
              <w:t xml:space="preserve">1 August 2026</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VERSION</w:t>
            </w:r>
          </w:p>
          <w:p>
            <w:r>
              <w:rPr>
                <w:rFonts w:ascii="Calibri" w:cs="Calibri" w:eastAsia="Calibri" w:hAnsi="Calibri"/>
                <w:color w:val="001F3F"/>
                <w:sz w:val="17"/>
                <w:szCs w:val="17"/>
              </w:rPr>
              <w:t xml:space="preserve">1.0</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APPROVED BY</w:t>
            </w:r>
          </w:p>
          <w:p>
            <w:r>
              <w:rPr>
                <w:rFonts w:ascii="Calibri" w:cs="Calibri" w:eastAsia="Calibri" w:hAnsi="Calibri"/>
                <w:color w:val="001F3F"/>
                <w:sz w:val="17"/>
                <w:szCs w:val="17"/>
              </w:rPr>
              <w:t xml:space="preserve">P. J. van der Merwe, Founder &amp; Lifelong Chair</w:t>
            </w:r>
          </w:p>
        </w:tc>
      </w:tr>
    </w:tbl>
    <w:p>
      <w:pPr>
        <w:pBdr>
          <w:left w:val="single" w:color="C9A24C" w:sz="24" w:space="8"/>
        </w:pBdr>
        <w:shd w:fill="FFF8E6" w:val="clear"/>
        <w:spacing w:after="360" w:before="140"/>
      </w:pPr>
      <w:r>
        <w:rPr>
          <w:rFonts w:ascii="Calibri" w:cs="Calibri" w:eastAsia="Calibri" w:hAnsi="Calibri"/>
          <w:b/>
          <w:bCs/>
          <w:color w:val="8A6A1F"/>
          <w:sz w:val="17"/>
          <w:szCs w:val="17"/>
        </w:rPr>
        <w:t xml:space="preserve">LEGAL REVIEW STATUS: </w:t>
      </w:r>
      <w:r>
        <w:rPr>
          <w:rFonts w:ascii="Calibri" w:cs="Calibri" w:eastAsia="Calibri" w:hAnsi="Calibri"/>
          <w:color w:val="8A6A1F"/>
          <w:sz w:val="17"/>
          <w:szCs w:val="17"/>
        </w:rPr>
        <w:t xml:space="preserve">Draft — pending review by external counsel prior to formal adoption. Not yet binding.</w:t>
      </w:r>
    </w:p>
    <w:p>
      <w:pPr>
        <w:pStyle w:val="Heading1"/>
        <w:pBdr>
          <w:bottom w:val="single" w:color="D9E2E8" w:sz="4" w:space="4"/>
        </w:pBdr>
        <w:spacing w:after="140" w:before="320"/>
      </w:pPr>
      <w:r>
        <w:rPr>
          <w:rFonts w:ascii="Georgia" w:cs="Georgia" w:eastAsia="Georgia" w:hAnsi="Georgia"/>
          <w:b/>
          <w:bCs/>
          <w:color w:val="001F3F"/>
          <w:sz w:val="28"/>
          <w:szCs w:val="28"/>
        </w:rPr>
        <w:t xml:space="preserve">1. Purpose</w:t>
      </w:r>
    </w:p>
    <w:p>
      <w:pPr>
        <w:spacing w:after="160" w:line="280"/>
      </w:pPr>
      <w:r>
        <w:rPr>
          <w:rFonts w:ascii="Calibri" w:cs="Calibri" w:eastAsia="Calibri" w:hAnsi="Calibri"/>
          <w:i w:val="false"/>
          <w:iCs w:val="false"/>
          <w:color w:val="1A1A1A"/>
          <w:sz w:val="21"/>
          <w:szCs w:val="21"/>
        </w:rPr>
        <w:t xml:space="preserve">This Policy establishes the principles, authority levels, and procedures governing all procurement activity carried out by ECAHLI Global Holdings and its registered entities across every Node and flagship development. It applies to the procurement of works, goods, and services regardless of value, funding source, or geography.</w:t>
      </w:r>
    </w:p>
    <w:p>
      <w:pPr>
        <w:pStyle w:val="Heading1"/>
        <w:pBdr>
          <w:bottom w:val="single" w:color="D9E2E8" w:sz="4" w:space="4"/>
        </w:pBdr>
        <w:spacing w:after="140" w:before="320"/>
      </w:pPr>
      <w:r>
        <w:rPr>
          <w:rFonts w:ascii="Georgia" w:cs="Georgia" w:eastAsia="Georgia" w:hAnsi="Georgia"/>
          <w:b/>
          <w:bCs/>
          <w:color w:val="001F3F"/>
          <w:sz w:val="28"/>
          <w:szCs w:val="28"/>
        </w:rPr>
        <w:t xml:space="preserve">2. Scope</w:t>
      </w:r>
    </w:p>
    <w:p>
      <w:pPr>
        <w:spacing w:after="160" w:line="280"/>
      </w:pPr>
      <w:r>
        <w:rPr>
          <w:rFonts w:ascii="Calibri" w:cs="Calibri" w:eastAsia="Calibri" w:hAnsi="Calibri"/>
          <w:i w:val="false"/>
          <w:iCs w:val="false"/>
          <w:color w:val="1A1A1A"/>
          <w:sz w:val="21"/>
          <w:szCs w:val="21"/>
        </w:rPr>
        <w:t xml:space="preserve">This Policy applies to:</w:t>
      </w:r>
    </w:p>
    <w:p>
      <w:pPr>
        <w:pStyle w:val="ListParagraph"/>
        <w:numPr>
          <w:ilvl w:val="0"/>
          <w:numId w:val="2"/>
        </w:numPr>
        <w:spacing w:after="90" w:line="270"/>
      </w:pPr>
      <w:r>
        <w:rPr>
          <w:rFonts w:ascii="Calibri" w:cs="Calibri" w:eastAsia="Calibri" w:hAnsi="Calibri"/>
          <w:color w:val="1A1A1A"/>
          <w:sz w:val="21"/>
          <w:szCs w:val="21"/>
        </w:rPr>
        <w:t xml:space="preserve">All procurement conducted under the Global Procurement Programme, including civil works, consultancy, operations, and long-term service contracts.</w:t>
      </w:r>
    </w:p>
    <w:p>
      <w:pPr>
        <w:pStyle w:val="ListParagraph"/>
        <w:numPr>
          <w:ilvl w:val="0"/>
          <w:numId w:val="2"/>
        </w:numPr>
        <w:spacing w:after="90" w:line="270"/>
      </w:pPr>
      <w:r>
        <w:rPr>
          <w:rFonts w:ascii="Calibri" w:cs="Calibri" w:eastAsia="Calibri" w:hAnsi="Calibri"/>
          <w:color w:val="1A1A1A"/>
          <w:sz w:val="21"/>
          <w:szCs w:val="21"/>
        </w:rPr>
        <w:t xml:space="preserve">All ECAHLI legal entities, including ECAHLI Global Holdings Kenya, ECAHLI Limited (UK), and ECAHLI LLC.</w:t>
      </w:r>
    </w:p>
    <w:p>
      <w:pPr>
        <w:pStyle w:val="ListParagraph"/>
        <w:numPr>
          <w:ilvl w:val="0"/>
          <w:numId w:val="2"/>
        </w:numPr>
        <w:spacing w:after="90" w:line="270"/>
      </w:pPr>
      <w:r>
        <w:rPr>
          <w:rFonts w:ascii="Calibri" w:cs="Calibri" w:eastAsia="Calibri" w:hAnsi="Calibri"/>
          <w:color w:val="1A1A1A"/>
          <w:sz w:val="21"/>
          <w:szCs w:val="21"/>
        </w:rPr>
        <w:t xml:space="preserve">All staff, directors, and appointed evaluators involved in specifying, sourcing, evaluating, or awarding contracts on ECAHLI's behalf.</w:t>
      </w:r>
    </w:p>
    <w:p>
      <w:pPr>
        <w:pStyle w:val="ListParagraph"/>
        <w:numPr>
          <w:ilvl w:val="0"/>
          <w:numId w:val="2"/>
        </w:numPr>
        <w:spacing w:after="90" w:line="270"/>
      </w:pPr>
      <w:r>
        <w:rPr>
          <w:rFonts w:ascii="Calibri" w:cs="Calibri" w:eastAsia="Calibri" w:hAnsi="Calibri"/>
          <w:color w:val="1A1A1A"/>
          <w:sz w:val="21"/>
          <w:szCs w:val="21"/>
        </w:rPr>
        <w:t xml:space="preserve">All external vendors, contractors, consultants, and suppliers engaging with ECAHLI through a tender, RFP, RFQ, or direct procurement process.</w:t>
      </w:r>
    </w:p>
    <w:p>
      <w:pPr>
        <w:pStyle w:val="Heading1"/>
        <w:pBdr>
          <w:bottom w:val="single" w:color="D9E2E8" w:sz="4" w:space="4"/>
        </w:pBdr>
        <w:spacing w:after="140" w:before="320"/>
      </w:pPr>
      <w:r>
        <w:rPr>
          <w:rFonts w:ascii="Georgia" w:cs="Georgia" w:eastAsia="Georgia" w:hAnsi="Georgia"/>
          <w:b/>
          <w:bCs/>
          <w:color w:val="001F3F"/>
          <w:sz w:val="28"/>
          <w:szCs w:val="28"/>
        </w:rPr>
        <w:t xml:space="preserve">3. Guiding Principles</w:t>
      </w:r>
    </w:p>
    <w:p>
      <w:pPr>
        <w:spacing w:after="160" w:line="280"/>
      </w:pPr>
      <w:r>
        <w:rPr>
          <w:rFonts w:ascii="Calibri" w:cs="Calibri" w:eastAsia="Calibri" w:hAnsi="Calibri"/>
          <w:i w:val="false"/>
          <w:iCs w:val="false"/>
          <w:color w:val="1A1A1A"/>
          <w:sz w:val="21"/>
          <w:szCs w:val="21"/>
        </w:rPr>
        <w:t xml:space="preserve">All procurement activity is conducted in accordance with the following principles, consistent with international development and infrastructure procurement standards:</w:t>
      </w:r>
    </w:p>
    <w:p>
      <w:pPr>
        <w:pStyle w:val="ListParagraph"/>
        <w:numPr>
          <w:ilvl w:val="0"/>
          <w:numId w:val="2"/>
        </w:numPr>
        <w:spacing w:after="90" w:line="270"/>
      </w:pPr>
      <w:r>
        <w:rPr>
          <w:rFonts w:ascii="Calibri" w:cs="Calibri" w:eastAsia="Calibri" w:hAnsi="Calibri"/>
          <w:color w:val="1A1A1A"/>
          <w:sz w:val="21"/>
          <w:szCs w:val="21"/>
        </w:rPr>
        <w:t xml:space="preserve">Transparency — procurement opportunities, criteria, and outcomes are documented and available to bidders on request.</w:t>
      </w:r>
    </w:p>
    <w:p>
      <w:pPr>
        <w:pStyle w:val="ListParagraph"/>
        <w:numPr>
          <w:ilvl w:val="0"/>
          <w:numId w:val="2"/>
        </w:numPr>
        <w:spacing w:after="90" w:line="270"/>
      </w:pPr>
      <w:r>
        <w:rPr>
          <w:rFonts w:ascii="Calibri" w:cs="Calibri" w:eastAsia="Calibri" w:hAnsi="Calibri"/>
          <w:color w:val="1A1A1A"/>
          <w:sz w:val="21"/>
          <w:szCs w:val="21"/>
        </w:rPr>
        <w:t xml:space="preserve">Fair Competition — all qualified bidders are given equal opportunity to compete, free from favouritism.</w:t>
      </w:r>
    </w:p>
    <w:p>
      <w:pPr>
        <w:pStyle w:val="ListParagraph"/>
        <w:numPr>
          <w:ilvl w:val="0"/>
          <w:numId w:val="2"/>
        </w:numPr>
        <w:spacing w:after="90" w:line="270"/>
      </w:pPr>
      <w:r>
        <w:rPr>
          <w:rFonts w:ascii="Calibri" w:cs="Calibri" w:eastAsia="Calibri" w:hAnsi="Calibri"/>
          <w:color w:val="1A1A1A"/>
          <w:sz w:val="21"/>
          <w:szCs w:val="21"/>
        </w:rPr>
        <w:t xml:space="preserve">Equal Opportunity — no bidder is excluded on the basis of nationality, ownership structure, or affiliation, except where legally required.</w:t>
      </w:r>
    </w:p>
    <w:p>
      <w:pPr>
        <w:pStyle w:val="ListParagraph"/>
        <w:numPr>
          <w:ilvl w:val="0"/>
          <w:numId w:val="2"/>
        </w:numPr>
        <w:spacing w:after="90" w:line="270"/>
      </w:pPr>
      <w:r>
        <w:rPr>
          <w:rFonts w:ascii="Calibri" w:cs="Calibri" w:eastAsia="Calibri" w:hAnsi="Calibri"/>
          <w:color w:val="1A1A1A"/>
          <w:sz w:val="21"/>
          <w:szCs w:val="21"/>
        </w:rPr>
        <w:t xml:space="preserve">Value for Money — award decisions balance price, quality, sustainability, and delivery capability, rather than lowest price alone.</w:t>
      </w:r>
    </w:p>
    <w:p>
      <w:pPr>
        <w:pStyle w:val="ListParagraph"/>
        <w:numPr>
          <w:ilvl w:val="0"/>
          <w:numId w:val="2"/>
        </w:numPr>
        <w:spacing w:after="90" w:line="270"/>
      </w:pPr>
      <w:r>
        <w:rPr>
          <w:rFonts w:ascii="Calibri" w:cs="Calibri" w:eastAsia="Calibri" w:hAnsi="Calibri"/>
          <w:color w:val="1A1A1A"/>
          <w:sz w:val="21"/>
          <w:szCs w:val="21"/>
        </w:rPr>
        <w:t xml:space="preserve">Sustainability &amp; ESG Integration — environmental and social impact are evaluated as part of every award decision above pre-qualification threshold.</w:t>
      </w:r>
    </w:p>
    <w:p>
      <w:pPr>
        <w:pStyle w:val="ListParagraph"/>
        <w:numPr>
          <w:ilvl w:val="0"/>
          <w:numId w:val="2"/>
        </w:numPr>
        <w:spacing w:after="90" w:line="270"/>
      </w:pPr>
      <w:r>
        <w:rPr>
          <w:rFonts w:ascii="Calibri" w:cs="Calibri" w:eastAsia="Calibri" w:hAnsi="Calibri"/>
          <w:color w:val="1A1A1A"/>
          <w:sz w:val="21"/>
          <w:szCs w:val="21"/>
        </w:rPr>
        <w:t xml:space="preserve">Independent Evaluation — no single individual may unilaterally approve a procurement decision above the delegated authority threshold set out in Section 5.</w:t>
      </w:r>
    </w:p>
    <w:p>
      <w:pPr>
        <w:pStyle w:val="ListParagraph"/>
        <w:numPr>
          <w:ilvl w:val="0"/>
          <w:numId w:val="2"/>
        </w:numPr>
        <w:spacing w:after="90" w:line="270"/>
      </w:pPr>
      <w:r>
        <w:rPr>
          <w:rFonts w:ascii="Calibri" w:cs="Calibri" w:eastAsia="Calibri" w:hAnsi="Calibri"/>
          <w:color w:val="1A1A1A"/>
          <w:sz w:val="21"/>
          <w:szCs w:val="21"/>
        </w:rPr>
        <w:t xml:space="preserve">Auditability — every procurement decision is supported by a documented record sufficient for internal or external audit.</w:t>
      </w:r>
    </w:p>
    <w:p>
      <w:pPr>
        <w:pStyle w:val="Heading1"/>
        <w:pBdr>
          <w:bottom w:val="single" w:color="D9E2E8" w:sz="4" w:space="4"/>
        </w:pBdr>
        <w:spacing w:after="140" w:before="320"/>
      </w:pPr>
      <w:r>
        <w:rPr>
          <w:rFonts w:ascii="Georgia" w:cs="Georgia" w:eastAsia="Georgia" w:hAnsi="Georgia"/>
          <w:b/>
          <w:bCs/>
          <w:color w:val="001F3F"/>
          <w:sz w:val="28"/>
          <w:szCs w:val="28"/>
        </w:rPr>
        <w:t xml:space="preserve">4. Procurement Methods</w:t>
      </w:r>
    </w:p>
    <w:p>
      <w:pPr>
        <w:spacing w:after="160" w:line="280"/>
      </w:pPr>
      <w:r>
        <w:rPr>
          <w:rFonts w:ascii="Calibri" w:cs="Calibri" w:eastAsia="Calibri" w:hAnsi="Calibri"/>
          <w:i w:val="false"/>
          <w:iCs w:val="false"/>
          <w:color w:val="1A1A1A"/>
          <w:sz w:val="21"/>
          <w:szCs w:val="21"/>
        </w:rPr>
        <w:t xml:space="preserve">ECAHLI applies the following procurement methods depending on contract value, complexity, and urgency:</w:t>
      </w:r>
    </w:p>
    <w:p>
      <w:pPr>
        <w:pStyle w:val="ListParagraph"/>
        <w:numPr>
          <w:ilvl w:val="0"/>
          <w:numId w:val="2"/>
        </w:numPr>
        <w:spacing w:after="90" w:line="270"/>
      </w:pPr>
      <w:r>
        <w:rPr>
          <w:rFonts w:ascii="Calibri" w:cs="Calibri" w:eastAsia="Calibri" w:hAnsi="Calibri"/>
          <w:color w:val="1A1A1A"/>
          <w:sz w:val="21"/>
          <w:szCs w:val="21"/>
        </w:rPr>
        <w:t xml:space="preserve">Open Tender — publicly advertised, open to all qualified bidders, used for contracts above the threshold set in the annual procurement plan.</w:t>
      </w:r>
    </w:p>
    <w:p>
      <w:pPr>
        <w:pStyle w:val="ListParagraph"/>
        <w:numPr>
          <w:ilvl w:val="0"/>
          <w:numId w:val="2"/>
        </w:numPr>
        <w:spacing w:after="90" w:line="270"/>
      </w:pPr>
      <w:r>
        <w:rPr>
          <w:rFonts w:ascii="Calibri" w:cs="Calibri" w:eastAsia="Calibri" w:hAnsi="Calibri"/>
          <w:color w:val="1A1A1A"/>
          <w:sz w:val="21"/>
          <w:szCs w:val="21"/>
        </w:rPr>
        <w:t xml:space="preserve">Restricted Tender — issued to a pre-qualified shortlist, used where technical complexity requires vetted capability.</w:t>
      </w:r>
    </w:p>
    <w:p>
      <w:pPr>
        <w:pStyle w:val="ListParagraph"/>
        <w:numPr>
          <w:ilvl w:val="0"/>
          <w:numId w:val="2"/>
        </w:numPr>
        <w:spacing w:after="90" w:line="270"/>
      </w:pPr>
      <w:r>
        <w:rPr>
          <w:rFonts w:ascii="Calibri" w:cs="Calibri" w:eastAsia="Calibri" w:hAnsi="Calibri"/>
          <w:color w:val="1A1A1A"/>
          <w:sz w:val="21"/>
          <w:szCs w:val="21"/>
        </w:rPr>
        <w:t xml:space="preserve">Request for Proposals (RFP) — used for consultancy and advisory services where methodology and approach are evaluated alongside price.</w:t>
      </w:r>
    </w:p>
    <w:p>
      <w:pPr>
        <w:pStyle w:val="ListParagraph"/>
        <w:numPr>
          <w:ilvl w:val="0"/>
          <w:numId w:val="2"/>
        </w:numPr>
        <w:spacing w:after="90" w:line="270"/>
      </w:pPr>
      <w:r>
        <w:rPr>
          <w:rFonts w:ascii="Calibri" w:cs="Calibri" w:eastAsia="Calibri" w:hAnsi="Calibri"/>
          <w:color w:val="1A1A1A"/>
          <w:sz w:val="21"/>
          <w:szCs w:val="21"/>
        </w:rPr>
        <w:t xml:space="preserve">Request for Quotations (RFQ) — used for lower-value, well-specified goods or services.</w:t>
      </w:r>
    </w:p>
    <w:p>
      <w:pPr>
        <w:pStyle w:val="ListParagraph"/>
        <w:numPr>
          <w:ilvl w:val="0"/>
          <w:numId w:val="2"/>
        </w:numPr>
        <w:spacing w:after="90" w:line="270"/>
      </w:pPr>
      <w:r>
        <w:rPr>
          <w:rFonts w:ascii="Calibri" w:cs="Calibri" w:eastAsia="Calibri" w:hAnsi="Calibri"/>
          <w:color w:val="1A1A1A"/>
          <w:sz w:val="21"/>
          <w:szCs w:val="21"/>
        </w:rPr>
        <w:t xml:space="preserve">Direct/Single-Source Procurement — used only in defined exceptional circumstances (Section 6), and requires written justification and approval above the standard delegated authority level.</w:t>
      </w:r>
    </w:p>
    <w:p>
      <w:pPr>
        <w:pStyle w:val="Heading1"/>
        <w:pBdr>
          <w:bottom w:val="single" w:color="D9E2E8" w:sz="4" w:space="4"/>
        </w:pBdr>
        <w:spacing w:after="140" w:before="320"/>
      </w:pPr>
      <w:r>
        <w:rPr>
          <w:rFonts w:ascii="Georgia" w:cs="Georgia" w:eastAsia="Georgia" w:hAnsi="Georgia"/>
          <w:b/>
          <w:bCs/>
          <w:color w:val="001F3F"/>
          <w:sz w:val="28"/>
          <w:szCs w:val="28"/>
        </w:rPr>
        <w:t xml:space="preserve">5. Delegated Authority</w:t>
      </w:r>
    </w:p>
    <w:p>
      <w:pPr>
        <w:spacing w:after="160" w:line="280"/>
      </w:pPr>
      <w:r>
        <w:rPr>
          <w:rFonts w:ascii="Calibri" w:cs="Calibri" w:eastAsia="Calibri" w:hAnsi="Calibri"/>
          <w:i w:val="false"/>
          <w:iCs w:val="false"/>
          <w:color w:val="1A1A1A"/>
          <w:sz w:val="21"/>
          <w:szCs w:val="21"/>
        </w:rPr>
        <w:t xml:space="preserve">Approval authority for procurement decisions is delegated as follows, and may be revised from time to time by the Board:</w:t>
      </w:r>
    </w:p>
    <w:p>
      <w:pPr>
        <w:pStyle w:val="ListParagraph"/>
        <w:numPr>
          <w:ilvl w:val="0"/>
          <w:numId w:val="2"/>
        </w:numPr>
        <w:spacing w:after="90" w:line="270"/>
      </w:pPr>
      <w:r>
        <w:rPr>
          <w:rFonts w:ascii="Calibri" w:cs="Calibri" w:eastAsia="Calibri" w:hAnsi="Calibri"/>
          <w:color w:val="1A1A1A"/>
          <w:sz w:val="21"/>
          <w:szCs w:val="21"/>
        </w:rPr>
        <w:t xml:space="preserve">Up to €50,000 — Procurement &amp; Contracts Manager, with Finance sign-off.</w:t>
      </w:r>
    </w:p>
    <w:p>
      <w:pPr>
        <w:pStyle w:val="ListParagraph"/>
        <w:numPr>
          <w:ilvl w:val="0"/>
          <w:numId w:val="2"/>
        </w:numPr>
        <w:spacing w:after="90" w:line="270"/>
      </w:pPr>
      <w:r>
        <w:rPr>
          <w:rFonts w:ascii="Calibri" w:cs="Calibri" w:eastAsia="Calibri" w:hAnsi="Calibri"/>
          <w:color w:val="1A1A1A"/>
          <w:sz w:val="21"/>
          <w:szCs w:val="21"/>
        </w:rPr>
        <w:t xml:space="preserve">€50,001 to €500,000 — Head of Projects &amp; Development and Finance &amp; Administration Manager, jointly.</w:t>
      </w:r>
    </w:p>
    <w:p>
      <w:pPr>
        <w:pStyle w:val="ListParagraph"/>
        <w:numPr>
          <w:ilvl w:val="0"/>
          <w:numId w:val="2"/>
        </w:numPr>
        <w:spacing w:after="90" w:line="270"/>
      </w:pPr>
      <w:r>
        <w:rPr>
          <w:rFonts w:ascii="Calibri" w:cs="Calibri" w:eastAsia="Calibri" w:hAnsi="Calibri"/>
          <w:color w:val="1A1A1A"/>
          <w:sz w:val="21"/>
          <w:szCs w:val="21"/>
        </w:rPr>
        <w:t xml:space="preserve">€500,001 and above, or any single-source award — Founder &amp; Lifelong Chair or delegated Executive Director, following Tender Evaluation Committee recommendation.</w:t>
      </w:r>
    </w:p>
    <w:p>
      <w:pPr>
        <w:pStyle w:val="Heading1"/>
        <w:pBdr>
          <w:bottom w:val="single" w:color="D9E2E8" w:sz="4" w:space="4"/>
        </w:pBdr>
        <w:spacing w:after="140" w:before="320"/>
      </w:pPr>
      <w:r>
        <w:rPr>
          <w:rFonts w:ascii="Georgia" w:cs="Georgia" w:eastAsia="Georgia" w:hAnsi="Georgia"/>
          <w:b/>
          <w:bCs/>
          <w:color w:val="001F3F"/>
          <w:sz w:val="28"/>
          <w:szCs w:val="28"/>
        </w:rPr>
        <w:t xml:space="preserve">6. Exceptions to Competitive Procurement</w:t>
      </w:r>
    </w:p>
    <w:p>
      <w:pPr>
        <w:spacing w:after="160" w:line="280"/>
      </w:pPr>
      <w:r>
        <w:rPr>
          <w:rFonts w:ascii="Calibri" w:cs="Calibri" w:eastAsia="Calibri" w:hAnsi="Calibri"/>
          <w:i w:val="false"/>
          <w:iCs w:val="false"/>
          <w:color w:val="1A1A1A"/>
          <w:sz w:val="21"/>
          <w:szCs w:val="21"/>
        </w:rPr>
        <w:t xml:space="preserve">Single-source procurement may be used only where one or more of the following applies, and must be documented in writing prior to award:</w:t>
      </w:r>
    </w:p>
    <w:p>
      <w:pPr>
        <w:pStyle w:val="ListParagraph"/>
        <w:numPr>
          <w:ilvl w:val="0"/>
          <w:numId w:val="2"/>
        </w:numPr>
        <w:spacing w:after="90" w:line="270"/>
      </w:pPr>
      <w:r>
        <w:rPr>
          <w:rFonts w:ascii="Calibri" w:cs="Calibri" w:eastAsia="Calibri" w:hAnsi="Calibri"/>
          <w:color w:val="1A1A1A"/>
          <w:sz w:val="21"/>
          <w:szCs w:val="21"/>
        </w:rPr>
        <w:t xml:space="preserve">Genuine emergency where competitive process would cause unacceptable delay or risk to life, property, or programme continuity.</w:t>
      </w:r>
    </w:p>
    <w:p>
      <w:pPr>
        <w:pStyle w:val="ListParagraph"/>
        <w:numPr>
          <w:ilvl w:val="0"/>
          <w:numId w:val="2"/>
        </w:numPr>
        <w:spacing w:after="90" w:line="270"/>
      </w:pPr>
      <w:r>
        <w:rPr>
          <w:rFonts w:ascii="Calibri" w:cs="Calibri" w:eastAsia="Calibri" w:hAnsi="Calibri"/>
          <w:color w:val="1A1A1A"/>
          <w:sz w:val="21"/>
          <w:szCs w:val="21"/>
        </w:rPr>
        <w:t xml:space="preserve">Only one capable supplier exists for a specialised requirement, verified by market survey.</w:t>
      </w:r>
    </w:p>
    <w:p>
      <w:pPr>
        <w:pStyle w:val="ListParagraph"/>
        <w:numPr>
          <w:ilvl w:val="0"/>
          <w:numId w:val="2"/>
        </w:numPr>
        <w:spacing w:after="90" w:line="270"/>
      </w:pPr>
      <w:r>
        <w:rPr>
          <w:rFonts w:ascii="Calibri" w:cs="Calibri" w:eastAsia="Calibri" w:hAnsi="Calibri"/>
          <w:color w:val="1A1A1A"/>
          <w:sz w:val="21"/>
          <w:szCs w:val="21"/>
        </w:rPr>
        <w:t xml:space="preserve">Extension of an existing contract where re-tendering would be materially disruptive and the original award was competitive.</w:t>
      </w:r>
    </w:p>
    <w:p>
      <w:pPr>
        <w:pStyle w:val="Heading1"/>
        <w:pBdr>
          <w:bottom w:val="single" w:color="D9E2E8" w:sz="4" w:space="4"/>
        </w:pBdr>
        <w:spacing w:after="140" w:before="320"/>
      </w:pPr>
      <w:r>
        <w:rPr>
          <w:rFonts w:ascii="Georgia" w:cs="Georgia" w:eastAsia="Georgia" w:hAnsi="Georgia"/>
          <w:b/>
          <w:bCs/>
          <w:color w:val="001F3F"/>
          <w:sz w:val="28"/>
          <w:szCs w:val="28"/>
        </w:rPr>
        <w:t xml:space="preserve">7. Roles and Responsibilities</w:t>
      </w:r>
    </w:p>
    <w:p>
      <w:pPr>
        <w:pStyle w:val="ListParagraph"/>
        <w:numPr>
          <w:ilvl w:val="0"/>
          <w:numId w:val="2"/>
        </w:numPr>
        <w:spacing w:after="90" w:line="270"/>
      </w:pPr>
      <w:r>
        <w:rPr>
          <w:rFonts w:ascii="Calibri" w:cs="Calibri" w:eastAsia="Calibri" w:hAnsi="Calibri"/>
          <w:color w:val="1A1A1A"/>
          <w:sz w:val="21"/>
          <w:szCs w:val="21"/>
        </w:rPr>
        <w:t xml:space="preserve">Procurement &amp; Contracts Manager — administers the end-to-end tender process, maintains the Contractor Database, and ensures compliance with this Policy.</w:t>
      </w:r>
    </w:p>
    <w:p>
      <w:pPr>
        <w:pStyle w:val="ListParagraph"/>
        <w:numPr>
          <w:ilvl w:val="0"/>
          <w:numId w:val="2"/>
        </w:numPr>
        <w:spacing w:after="90" w:line="270"/>
      </w:pPr>
      <w:r>
        <w:rPr>
          <w:rFonts w:ascii="Calibri" w:cs="Calibri" w:eastAsia="Calibri" w:hAnsi="Calibri"/>
          <w:color w:val="1A1A1A"/>
          <w:sz w:val="21"/>
          <w:szCs w:val="21"/>
        </w:rPr>
        <w:t xml:space="preserve">Tender Evaluation Committee — independently evaluates bids against published criteria (see Tender Evaluation Policy).</w:t>
      </w:r>
    </w:p>
    <w:p>
      <w:pPr>
        <w:pStyle w:val="ListParagraph"/>
        <w:numPr>
          <w:ilvl w:val="0"/>
          <w:numId w:val="2"/>
        </w:numPr>
        <w:spacing w:after="90" w:line="270"/>
      </w:pPr>
      <w:r>
        <w:rPr>
          <w:rFonts w:ascii="Calibri" w:cs="Calibri" w:eastAsia="Calibri" w:hAnsi="Calibri"/>
          <w:color w:val="1A1A1A"/>
          <w:sz w:val="21"/>
          <w:szCs w:val="21"/>
        </w:rPr>
        <w:t xml:space="preserve">Finance &amp; Administration Manager — verifies budget availability and financial compliance prior to award.</w:t>
      </w:r>
    </w:p>
    <w:p>
      <w:pPr>
        <w:pStyle w:val="ListParagraph"/>
        <w:numPr>
          <w:ilvl w:val="0"/>
          <w:numId w:val="2"/>
        </w:numPr>
        <w:spacing w:after="90" w:line="270"/>
      </w:pPr>
      <w:r>
        <w:rPr>
          <w:rFonts w:ascii="Calibri" w:cs="Calibri" w:eastAsia="Calibri" w:hAnsi="Calibri"/>
          <w:color w:val="1A1A1A"/>
          <w:sz w:val="21"/>
          <w:szCs w:val="21"/>
        </w:rPr>
        <w:t xml:space="preserve">Legal &amp; Compliance Manager — reviews contract terms and ensures regulatory compliance in the relevant jurisdiction.</w:t>
      </w:r>
    </w:p>
    <w:p>
      <w:pPr>
        <w:pStyle w:val="Heading1"/>
        <w:pBdr>
          <w:bottom w:val="single" w:color="D9E2E8" w:sz="4" w:space="4"/>
        </w:pBdr>
        <w:spacing w:after="140" w:before="320"/>
      </w:pPr>
      <w:r>
        <w:rPr>
          <w:rFonts w:ascii="Georgia" w:cs="Georgia" w:eastAsia="Georgia" w:hAnsi="Georgia"/>
          <w:b/>
          <w:bCs/>
          <w:color w:val="001F3F"/>
          <w:sz w:val="28"/>
          <w:szCs w:val="28"/>
        </w:rPr>
        <w:t xml:space="preserve">8. Non-Compliance</w:t>
      </w:r>
    </w:p>
    <w:p>
      <w:pPr>
        <w:spacing w:after="160" w:line="280"/>
      </w:pPr>
      <w:r>
        <w:rPr>
          <w:rFonts w:ascii="Calibri" w:cs="Calibri" w:eastAsia="Calibri" w:hAnsi="Calibri"/>
          <w:i w:val="false"/>
          <w:iCs w:val="false"/>
          <w:color w:val="1A1A1A"/>
          <w:sz w:val="21"/>
          <w:szCs w:val="21"/>
        </w:rPr>
        <w:t xml:space="preserve">Any breach of this Policy by ECAHLI staff or directors is addressed under ECAHLI's internal disciplinary framework. Any vendor found to have induced non-compliant procurement through misrepresentation, collusion, or improper influence is subject to exclusion from future procurement processes and may be reported to relevant authorities.</w:t>
      </w:r>
    </w:p>
    <w:p>
      <w:pPr>
        <w:pStyle w:val="Heading1"/>
        <w:pBdr>
          <w:bottom w:val="single" w:color="D9E2E8" w:sz="4" w:space="4"/>
        </w:pBdr>
        <w:spacing w:after="140" w:before="320"/>
      </w:pPr>
      <w:r>
        <w:rPr>
          <w:rFonts w:ascii="Georgia" w:cs="Georgia" w:eastAsia="Georgia" w:hAnsi="Georgia"/>
          <w:b/>
          <w:bCs/>
          <w:color w:val="001F3F"/>
          <w:sz w:val="28"/>
          <w:szCs w:val="28"/>
        </w:rPr>
        <w:t xml:space="preserve">9. Review</w:t>
      </w:r>
    </w:p>
    <w:p>
      <w:pPr>
        <w:spacing w:after="160" w:line="280"/>
      </w:pPr>
      <w:r>
        <w:rPr>
          <w:rFonts w:ascii="Calibri" w:cs="Calibri" w:eastAsia="Calibri" w:hAnsi="Calibri"/>
          <w:i w:val="false"/>
          <w:iCs w:val="false"/>
          <w:color w:val="1A1A1A"/>
          <w:sz w:val="21"/>
          <w:szCs w:val="21"/>
        </w:rPr>
        <w:t xml:space="preserve">This Policy is reviewed annually by the Board, or sooner if required by material changes in ECAHLI's operating structure or applicable law.</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2E8" w:sz="4" w:space="6"/>
      </w:pBdr>
      <w:spacing w:before="100"/>
    </w:pPr>
    <w:r>
      <w:rPr>
        <w:rFonts w:ascii="Calibri" w:cs="Calibri" w:eastAsia="Calibri" w:hAnsi="Calibri"/>
        <w:color w:val="52707F"/>
        <w:sz w:val="15"/>
        <w:szCs w:val="15"/>
      </w:rPr>
      <w:t xml:space="preserve">ECAHLI Global Holdings · Dutch Stichting · tenders.africa@ecahli.com</w:t>
    </w:r>
  </w:p>
  <w:p>
    <w:pPr>
      <w:jc w:val="right"/>
    </w:pPr>
    <w:r>
      <w:rPr>
        <w:rFonts w:ascii="Calibri" w:cs="Calibri" w:eastAsia="Calibri" w:hAnsi="Calibri"/>
        <w:color w:val="52707F"/>
        <w:sz w:val="15"/>
        <w:szCs w:val="15"/>
      </w:rPr>
      <w:t xml:space="preserve">Page </w:t>
    </w:r>
    <w:r>
      <w:rPr>
        <w:rFonts w:ascii="Calibri" w:cs="Calibri" w:eastAsia="Calibri" w:hAnsi="Calibri"/>
        <w:color w:val="52707F"/>
        <w:sz w:val="15"/>
        <w:szCs w:val="15"/>
      </w:rPr>
      <w:fldChar w:fldCharType="begin"/>
      <w:instrText xml:space="preserve">PAGE</w:instrText>
      <w:fldChar w:fldCharType="separate"/>
      <w:fldChar w:fldCharType="end"/>
    </w:r>
    <w:r>
      <w:rPr>
        <w:rFonts w:ascii="Calibri" w:cs="Calibri" w:eastAsia="Calibri" w:hAnsi="Calibri"/>
        <w:color w:val="52707F"/>
        <w:sz w:val="15"/>
        <w:szCs w:val="15"/>
      </w:rPr>
      <w:t xml:space="preserve"> of </w:t>
    </w:r>
    <w:r>
      <w:rPr>
        <w:rFonts w:ascii="Calibri" w:cs="Calibri" w:eastAsia="Calibri" w:hAnsi="Calibri"/>
        <w:color w:val="52707F"/>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7FA0" w:sz="8" w:space="6"/>
      </w:pBdr>
      <w:spacing w:after="100"/>
    </w:pPr>
    <w:r>
      <w:rPr>
        <w:rFonts w:ascii="Georgia" w:cs="Georgia" w:eastAsia="Georgia" w:hAnsi="Georgia"/>
        <w:b/>
        <w:bCs/>
        <w:color w:val="001F3F"/>
        <w:sz w:val="16"/>
        <w:szCs w:val="16"/>
      </w:rPr>
      <w:t xml:space="preserve">ECAHLI GLOBAL HOLDINGS</w:t>
    </w:r>
    <w:r>
      <w:rPr>
        <w:rFonts w:ascii="Calibri" w:cs="Calibri" w:eastAsia="Calibri" w:hAnsi="Calibri"/>
        <w:color w:val="52707F"/>
        <w:sz w:val="16"/>
        <w:szCs w:val="16"/>
      </w:rPr>
      <w:t xml:space="preserve">   ·   Global Procurement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2026-07-07T21:52:22.409Z</dcterms:created>
  <dcterms:modified xsi:type="dcterms:W3CDTF">2026-07-07T21:52:22.441Z</dcterms:modified>
</cp:coreProperties>
</file>

<file path=docProps/custom.xml><?xml version="1.0" encoding="utf-8"?>
<Properties xmlns="http://schemas.openxmlformats.org/officeDocument/2006/custom-properties" xmlns:vt="http://schemas.openxmlformats.org/officeDocument/2006/docPropsVTypes"/>
</file>