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pPr>
      <w:r>
        <w:rPr>
          <w:rFonts w:ascii="Calibri" w:cs="Calibri" w:eastAsia="Calibri" w:hAnsi="Calibri"/>
          <w:b/>
          <w:bCs/>
          <w:color w:val="007FA0"/>
          <w:spacing w:val="20"/>
          <w:sz w:val="20"/>
          <w:szCs w:val="20"/>
        </w:rPr>
        <w:t xml:space="preserve">ECAHLI GLOBAL PROCUREMENT PROGRAMME — GOVERNANCE DOCUMENT</w:t>
      </w:r>
    </w:p>
    <w:p>
      <w:pPr>
        <w:spacing w:after="240"/>
      </w:pPr>
      <w:r>
        <w:rPr>
          <w:rFonts w:ascii="Georgia" w:cs="Georgia" w:eastAsia="Georgia" w:hAnsi="Georgia"/>
          <w:b/>
          <w:bCs/>
          <w:color w:val="001F3F"/>
          <w:sz w:val="52"/>
          <w:szCs w:val="52"/>
        </w:rPr>
        <w:t xml:space="preserve">Procurement Appeals Procedure</w:t>
      </w:r>
    </w:p>
    <w:tbl>
      <w:tblPr>
        <w:tblW w:type="pct" w:w="100%"/>
        <w:tblBorders>
          <w:top w:val="single" w:color="D9E2E8" w:sz="4"/>
          <w:left w:val="none"/>
          <w:bottom w:val="single" w:color="D9E2E8" w:sz="4"/>
          <w:right w:val="none"/>
          <w:insideH w:val="none"/>
          <w:insideV w:val="none"/>
        </w:tblBorders>
      </w:tblPr>
      <w:tblGrid>
        <w:gridCol w:w="100"/>
        <w:gridCol w:w="100"/>
        <w:gridCol w:w="100"/>
        <w:gridCol w:w="100"/>
      </w:tblGrid>
      <w:tr>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POLICY NUMBER</w:t>
            </w:r>
          </w:p>
          <w:p>
            <w:r>
              <w:rPr>
                <w:rFonts w:ascii="Calibri" w:cs="Calibri" w:eastAsia="Calibri" w:hAnsi="Calibri"/>
                <w:color w:val="001F3F"/>
                <w:sz w:val="17"/>
                <w:szCs w:val="17"/>
              </w:rPr>
              <w:t xml:space="preserve">ECAHLI-PROC-06</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EFFECTIVE DATE</w:t>
            </w:r>
          </w:p>
          <w:p>
            <w:r>
              <w:rPr>
                <w:rFonts w:ascii="Calibri" w:cs="Calibri" w:eastAsia="Calibri" w:hAnsi="Calibri"/>
                <w:color w:val="001F3F"/>
                <w:sz w:val="17"/>
                <w:szCs w:val="17"/>
              </w:rPr>
              <w:t xml:space="preserve">1 August 2026</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VERSION</w:t>
            </w:r>
          </w:p>
          <w:p>
            <w:r>
              <w:rPr>
                <w:rFonts w:ascii="Calibri" w:cs="Calibri" w:eastAsia="Calibri" w:hAnsi="Calibri"/>
                <w:color w:val="001F3F"/>
                <w:sz w:val="17"/>
                <w:szCs w:val="17"/>
              </w:rPr>
              <w:t xml:space="preserve">1.0</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APPROVED BY</w:t>
            </w:r>
          </w:p>
          <w:p>
            <w:r>
              <w:rPr>
                <w:rFonts w:ascii="Calibri" w:cs="Calibri" w:eastAsia="Calibri" w:hAnsi="Calibri"/>
                <w:color w:val="001F3F"/>
                <w:sz w:val="17"/>
                <w:szCs w:val="17"/>
              </w:rPr>
              <w:t xml:space="preserve">P. J. van der Merwe, Founder &amp; Lifelong Chair</w:t>
            </w:r>
          </w:p>
        </w:tc>
      </w:tr>
    </w:tbl>
    <w:p>
      <w:pPr>
        <w:pBdr>
          <w:left w:val="single" w:color="C9A24C" w:sz="24" w:space="8"/>
        </w:pBdr>
        <w:shd w:fill="FFF8E6" w:val="clear"/>
        <w:spacing w:after="360" w:before="140"/>
      </w:pPr>
      <w:r>
        <w:rPr>
          <w:rFonts w:ascii="Calibri" w:cs="Calibri" w:eastAsia="Calibri" w:hAnsi="Calibri"/>
          <w:b/>
          <w:bCs/>
          <w:color w:val="8A6A1F"/>
          <w:sz w:val="17"/>
          <w:szCs w:val="17"/>
        </w:rPr>
        <w:t xml:space="preserve">LEGAL REVIEW STATUS: </w:t>
      </w:r>
      <w:r>
        <w:rPr>
          <w:rFonts w:ascii="Calibri" w:cs="Calibri" w:eastAsia="Calibri" w:hAnsi="Calibri"/>
          <w:color w:val="8A6A1F"/>
          <w:sz w:val="17"/>
          <w:szCs w:val="17"/>
        </w:rPr>
        <w:t xml:space="preserve">Draft — pending review by external counsel prior to formal adoption. Not yet binding.</w:t>
      </w:r>
    </w:p>
    <w:p>
      <w:pPr>
        <w:pStyle w:val="Heading1"/>
        <w:pBdr>
          <w:bottom w:val="single" w:color="D9E2E8" w:sz="4" w:space="4"/>
        </w:pBdr>
        <w:spacing w:after="140" w:before="320"/>
      </w:pPr>
      <w:r>
        <w:rPr>
          <w:rFonts w:ascii="Georgia" w:cs="Georgia" w:eastAsia="Georgia" w:hAnsi="Georgia"/>
          <w:b/>
          <w:bCs/>
          <w:color w:val="001F3F"/>
          <w:sz w:val="28"/>
          <w:szCs w:val="28"/>
        </w:rPr>
        <w:t xml:space="preserve">1. Purpose</w:t>
      </w:r>
    </w:p>
    <w:p>
      <w:pPr>
        <w:spacing w:after="160" w:line="280"/>
      </w:pPr>
      <w:r>
        <w:rPr>
          <w:rFonts w:ascii="Calibri" w:cs="Calibri" w:eastAsia="Calibri" w:hAnsi="Calibri"/>
          <w:i w:val="false"/>
          <w:iCs w:val="false"/>
          <w:color w:val="1A1A1A"/>
          <w:sz w:val="21"/>
          <w:szCs w:val="21"/>
        </w:rPr>
        <w:t xml:space="preserve">This Procedure gives bidders a clear, fair route to query or formally appeal a procurement outcome, consistent with ECAHLI's commitment to transparency and accountability.</w:t>
      </w:r>
    </w:p>
    <w:p>
      <w:pPr>
        <w:pStyle w:val="Heading1"/>
        <w:pBdr>
          <w:bottom w:val="single" w:color="D9E2E8" w:sz="4" w:space="4"/>
        </w:pBdr>
        <w:spacing w:after="140" w:before="320"/>
      </w:pPr>
      <w:r>
        <w:rPr>
          <w:rFonts w:ascii="Georgia" w:cs="Georgia" w:eastAsia="Georgia" w:hAnsi="Georgia"/>
          <w:b/>
          <w:bCs/>
          <w:color w:val="001F3F"/>
          <w:sz w:val="28"/>
          <w:szCs w:val="28"/>
        </w:rPr>
        <w:t xml:space="preserve">2. Who May Appeal</w:t>
      </w:r>
    </w:p>
    <w:p>
      <w:pPr>
        <w:spacing w:after="160" w:line="280"/>
      </w:pPr>
      <w:r>
        <w:rPr>
          <w:rFonts w:ascii="Calibri" w:cs="Calibri" w:eastAsia="Calibri" w:hAnsi="Calibri"/>
          <w:i w:val="false"/>
          <w:iCs w:val="false"/>
          <w:color w:val="1A1A1A"/>
          <w:sz w:val="21"/>
          <w:szCs w:val="21"/>
        </w:rPr>
        <w:t xml:space="preserve">Any bidder that submitted a compliant bid for a specific tender, RFP, or RFQ may raise a query or appeal relating to that procurement's process or outcome.</w:t>
      </w:r>
    </w:p>
    <w:p>
      <w:pPr>
        <w:pStyle w:val="Heading1"/>
        <w:pBdr>
          <w:bottom w:val="single" w:color="D9E2E8" w:sz="4" w:space="4"/>
        </w:pBdr>
        <w:spacing w:after="140" w:before="320"/>
      </w:pPr>
      <w:r>
        <w:rPr>
          <w:rFonts w:ascii="Georgia" w:cs="Georgia" w:eastAsia="Georgia" w:hAnsi="Georgia"/>
          <w:b/>
          <w:bCs/>
          <w:color w:val="001F3F"/>
          <w:sz w:val="28"/>
          <w:szCs w:val="28"/>
        </w:rPr>
        <w:t xml:space="preserve">3. Stage One — Clarification Request</w:t>
      </w:r>
    </w:p>
    <w:p>
      <w:pPr>
        <w:spacing w:after="160" w:line="280"/>
      </w:pPr>
      <w:r>
        <w:rPr>
          <w:rFonts w:ascii="Calibri" w:cs="Calibri" w:eastAsia="Calibri" w:hAnsi="Calibri"/>
          <w:i w:val="false"/>
          <w:iCs w:val="false"/>
          <w:color w:val="1A1A1A"/>
          <w:sz w:val="21"/>
          <w:szCs w:val="21"/>
        </w:rPr>
        <w:t xml:space="preserve">A bidder may request clarification of the evaluation outcome, including its own scores against published criteria, within 14 calendar days of notification. Clarification requests are addressed to tenders.africa@ecahli.com and are responded to in writing within 10 working days.</w:t>
      </w:r>
    </w:p>
    <w:p>
      <w:pPr>
        <w:pStyle w:val="Heading1"/>
        <w:pBdr>
          <w:bottom w:val="single" w:color="D9E2E8" w:sz="4" w:space="4"/>
        </w:pBdr>
        <w:spacing w:after="140" w:before="320"/>
      </w:pPr>
      <w:r>
        <w:rPr>
          <w:rFonts w:ascii="Georgia" w:cs="Georgia" w:eastAsia="Georgia" w:hAnsi="Georgia"/>
          <w:b/>
          <w:bCs/>
          <w:color w:val="001F3F"/>
          <w:sz w:val="28"/>
          <w:szCs w:val="28"/>
        </w:rPr>
        <w:t xml:space="preserve">4. Stage Two — Formal Appeal</w:t>
      </w:r>
    </w:p>
    <w:p>
      <w:pPr>
        <w:spacing w:after="160" w:line="280"/>
      </w:pPr>
      <w:r>
        <w:rPr>
          <w:rFonts w:ascii="Calibri" w:cs="Calibri" w:eastAsia="Calibri" w:hAnsi="Calibri"/>
          <w:i w:val="false"/>
          <w:iCs w:val="false"/>
          <w:color w:val="1A1A1A"/>
          <w:sz w:val="21"/>
          <w:szCs w:val="21"/>
        </w:rPr>
        <w:t xml:space="preserve">If a bidder remains unsatisfied following clarification, a formal written appeal may be submitted within 14 calendar days of receiving the Stage One response. A formal appeal must set out:</w:t>
      </w:r>
    </w:p>
    <w:p>
      <w:pPr>
        <w:pStyle w:val="ListParagraph"/>
        <w:numPr>
          <w:ilvl w:val="0"/>
          <w:numId w:val="2"/>
        </w:numPr>
        <w:spacing w:after="90" w:line="270"/>
      </w:pPr>
      <w:r>
        <w:rPr>
          <w:rFonts w:ascii="Calibri" w:cs="Calibri" w:eastAsia="Calibri" w:hAnsi="Calibri"/>
          <w:color w:val="1A1A1A"/>
          <w:sz w:val="21"/>
          <w:szCs w:val="21"/>
        </w:rPr>
        <w:t xml:space="preserve">The specific tender or procurement process being appealed.</w:t>
      </w:r>
    </w:p>
    <w:p>
      <w:pPr>
        <w:pStyle w:val="ListParagraph"/>
        <w:numPr>
          <w:ilvl w:val="0"/>
          <w:numId w:val="2"/>
        </w:numPr>
        <w:spacing w:after="90" w:line="270"/>
      </w:pPr>
      <w:r>
        <w:rPr>
          <w:rFonts w:ascii="Calibri" w:cs="Calibri" w:eastAsia="Calibri" w:hAnsi="Calibri"/>
          <w:color w:val="1A1A1A"/>
          <w:sz w:val="21"/>
          <w:szCs w:val="21"/>
        </w:rPr>
        <w:t xml:space="preserve">The specific decision, action, or omission being disputed.</w:t>
      </w:r>
    </w:p>
    <w:p>
      <w:pPr>
        <w:pStyle w:val="ListParagraph"/>
        <w:numPr>
          <w:ilvl w:val="0"/>
          <w:numId w:val="2"/>
        </w:numPr>
        <w:spacing w:after="90" w:line="270"/>
      </w:pPr>
      <w:r>
        <w:rPr>
          <w:rFonts w:ascii="Calibri" w:cs="Calibri" w:eastAsia="Calibri" w:hAnsi="Calibri"/>
          <w:color w:val="1A1A1A"/>
          <w:sz w:val="21"/>
          <w:szCs w:val="21"/>
        </w:rPr>
        <w:t xml:space="preserve">The grounds for appeal, with supporting evidence where available.</w:t>
      </w:r>
    </w:p>
    <w:p>
      <w:pPr>
        <w:pStyle w:val="Heading1"/>
        <w:pBdr>
          <w:bottom w:val="single" w:color="D9E2E8" w:sz="4" w:space="4"/>
        </w:pBdr>
        <w:spacing w:after="140" w:before="320"/>
      </w:pPr>
      <w:r>
        <w:rPr>
          <w:rFonts w:ascii="Georgia" w:cs="Georgia" w:eastAsia="Georgia" w:hAnsi="Georgia"/>
          <w:b/>
          <w:bCs/>
          <w:color w:val="001F3F"/>
          <w:sz w:val="28"/>
          <w:szCs w:val="28"/>
        </w:rPr>
        <w:t xml:space="preserve">5. Review Panel</w:t>
      </w:r>
    </w:p>
    <w:p>
      <w:pPr>
        <w:spacing w:after="160" w:line="280"/>
      </w:pPr>
      <w:r>
        <w:rPr>
          <w:rFonts w:ascii="Calibri" w:cs="Calibri" w:eastAsia="Calibri" w:hAnsi="Calibri"/>
          <w:i w:val="false"/>
          <w:iCs w:val="false"/>
          <w:color w:val="1A1A1A"/>
          <w:sz w:val="21"/>
          <w:szCs w:val="21"/>
        </w:rPr>
        <w:t xml:space="preserve">Formal appeals are reviewed by a panel independent of the original Tender Evaluation Committee, comprising the Legal &amp; Compliance Manager and at least one senior representative not involved in the original evaluation. The panel may request additional information from the appellant or from ECAHLI staff involved in the original process.</w:t>
      </w:r>
    </w:p>
    <w:p>
      <w:pPr>
        <w:pStyle w:val="Heading1"/>
        <w:pBdr>
          <w:bottom w:val="single" w:color="D9E2E8" w:sz="4" w:space="4"/>
        </w:pBdr>
        <w:spacing w:after="140" w:before="320"/>
      </w:pPr>
      <w:r>
        <w:rPr>
          <w:rFonts w:ascii="Georgia" w:cs="Georgia" w:eastAsia="Georgia" w:hAnsi="Georgia"/>
          <w:b/>
          <w:bCs/>
          <w:color w:val="001F3F"/>
          <w:sz w:val="28"/>
          <w:szCs w:val="28"/>
        </w:rPr>
        <w:t xml:space="preserve">6. Outcome</w:t>
      </w:r>
    </w:p>
    <w:p>
      <w:pPr>
        <w:spacing w:after="160" w:line="280"/>
      </w:pPr>
      <w:r>
        <w:rPr>
          <w:rFonts w:ascii="Calibri" w:cs="Calibri" w:eastAsia="Calibri" w:hAnsi="Calibri"/>
          <w:i w:val="false"/>
          <w:iCs w:val="false"/>
          <w:color w:val="1A1A1A"/>
          <w:sz w:val="21"/>
          <w:szCs w:val="21"/>
        </w:rPr>
        <w:t xml:space="preserve">The Review Panel provides a written determination within 21 calendar days of receiving a formal appeal, addressing each ground raised. Possible outcomes include: upholding the original decision, re-evaluation of the affected bid(s), or, in cases of material process failure, cancellation and re-issue of the tender.</w:t>
      </w:r>
    </w:p>
    <w:p>
      <w:pPr>
        <w:pStyle w:val="Heading1"/>
        <w:pBdr>
          <w:bottom w:val="single" w:color="D9E2E8" w:sz="4" w:space="4"/>
        </w:pBdr>
        <w:spacing w:after="140" w:before="320"/>
      </w:pPr>
      <w:r>
        <w:rPr>
          <w:rFonts w:ascii="Georgia" w:cs="Georgia" w:eastAsia="Georgia" w:hAnsi="Georgia"/>
          <w:b/>
          <w:bCs/>
          <w:color w:val="001F3F"/>
          <w:sz w:val="28"/>
          <w:szCs w:val="28"/>
        </w:rPr>
        <w:t xml:space="preserve">7. Standstill Period</w:t>
      </w:r>
    </w:p>
    <w:p>
      <w:pPr>
        <w:spacing w:after="160" w:line="280"/>
      </w:pPr>
      <w:r>
        <w:rPr>
          <w:rFonts w:ascii="Calibri" w:cs="Calibri" w:eastAsia="Calibri" w:hAnsi="Calibri"/>
          <w:i w:val="false"/>
          <w:iCs w:val="false"/>
          <w:color w:val="1A1A1A"/>
          <w:sz w:val="21"/>
          <w:szCs w:val="21"/>
        </w:rPr>
        <w:t xml:space="preserve">Where a formal appeal is submitted before contract signature, ECAHLI will not proceed to contract award on the affected tender until the appeal is resolved, unless doing so would cause serious harm to the programme and the delay is documented in writing.</w:t>
      </w:r>
    </w:p>
    <w:p>
      <w:pPr>
        <w:pStyle w:val="Heading1"/>
        <w:pBdr>
          <w:bottom w:val="single" w:color="D9E2E8" w:sz="4" w:space="4"/>
        </w:pBdr>
        <w:spacing w:after="140" w:before="320"/>
      </w:pPr>
      <w:r>
        <w:rPr>
          <w:rFonts w:ascii="Georgia" w:cs="Georgia" w:eastAsia="Georgia" w:hAnsi="Georgia"/>
          <w:b/>
          <w:bCs/>
          <w:color w:val="001F3F"/>
          <w:sz w:val="28"/>
          <w:szCs w:val="28"/>
        </w:rPr>
        <w:t xml:space="preserve">8. Good Faith</w:t>
      </w:r>
    </w:p>
    <w:p>
      <w:pPr>
        <w:spacing w:after="160" w:line="280"/>
      </w:pPr>
      <w:r>
        <w:rPr>
          <w:rFonts w:ascii="Calibri" w:cs="Calibri" w:eastAsia="Calibri" w:hAnsi="Calibri"/>
          <w:i w:val="false"/>
          <w:iCs w:val="false"/>
          <w:color w:val="1A1A1A"/>
          <w:sz w:val="21"/>
          <w:szCs w:val="21"/>
        </w:rPr>
        <w:t xml:space="preserve">This Procedure exists to protect legitimate concerns. Appeals found to have been raised in bad faith or without reasonable basis may be taken into account in future pre-qualification assessments of the appellant.</w:t>
      </w:r>
    </w:p>
    <w:p>
      <w:pPr>
        <w:pStyle w:val="Heading1"/>
        <w:pBdr>
          <w:bottom w:val="single" w:color="D9E2E8" w:sz="4" w:space="4"/>
        </w:pBdr>
        <w:spacing w:after="140" w:before="320"/>
      </w:pPr>
      <w:r>
        <w:rPr>
          <w:rFonts w:ascii="Georgia" w:cs="Georgia" w:eastAsia="Georgia" w:hAnsi="Georgia"/>
          <w:b/>
          <w:bCs/>
          <w:color w:val="001F3F"/>
          <w:sz w:val="28"/>
          <w:szCs w:val="28"/>
        </w:rPr>
        <w:t xml:space="preserve">9. Review</w:t>
      </w:r>
    </w:p>
    <w:p>
      <w:pPr>
        <w:spacing w:after="160" w:line="280"/>
      </w:pPr>
      <w:r>
        <w:rPr>
          <w:rFonts w:ascii="Calibri" w:cs="Calibri" w:eastAsia="Calibri" w:hAnsi="Calibri"/>
          <w:i w:val="false"/>
          <w:iCs w:val="false"/>
          <w:color w:val="1A1A1A"/>
          <w:sz w:val="21"/>
          <w:szCs w:val="21"/>
        </w:rPr>
        <w:t xml:space="preserve">This Procedure is reviewed annually by the Board.</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2E8" w:sz="4" w:space="6"/>
      </w:pBdr>
      <w:spacing w:before="100"/>
    </w:pPr>
    <w:r>
      <w:rPr>
        <w:rFonts w:ascii="Calibri" w:cs="Calibri" w:eastAsia="Calibri" w:hAnsi="Calibri"/>
        <w:color w:val="52707F"/>
        <w:sz w:val="15"/>
        <w:szCs w:val="15"/>
      </w:rPr>
      <w:t xml:space="preserve">ECAHLI Global Holdings · Dutch Stichting · tenders.africa@ecahli.com</w:t>
    </w:r>
  </w:p>
  <w:p>
    <w:pPr>
      <w:jc w:val="right"/>
    </w:pPr>
    <w:r>
      <w:rPr>
        <w:rFonts w:ascii="Calibri" w:cs="Calibri" w:eastAsia="Calibri" w:hAnsi="Calibri"/>
        <w:color w:val="52707F"/>
        <w:sz w:val="15"/>
        <w:szCs w:val="15"/>
      </w:rPr>
      <w:t xml:space="preserve">Page </w:t>
    </w:r>
    <w:r>
      <w:rPr>
        <w:rFonts w:ascii="Calibri" w:cs="Calibri" w:eastAsia="Calibri" w:hAnsi="Calibri"/>
        <w:color w:val="52707F"/>
        <w:sz w:val="15"/>
        <w:szCs w:val="15"/>
      </w:rPr>
      <w:fldChar w:fldCharType="begin"/>
      <w:instrText xml:space="preserve">PAGE</w:instrText>
      <w:fldChar w:fldCharType="separate"/>
      <w:fldChar w:fldCharType="end"/>
    </w:r>
    <w:r>
      <w:rPr>
        <w:rFonts w:ascii="Calibri" w:cs="Calibri" w:eastAsia="Calibri" w:hAnsi="Calibri"/>
        <w:color w:val="52707F"/>
        <w:sz w:val="15"/>
        <w:szCs w:val="15"/>
      </w:rPr>
      <w:t xml:space="preserve"> of </w:t>
    </w:r>
    <w:r>
      <w:rPr>
        <w:rFonts w:ascii="Calibri" w:cs="Calibri" w:eastAsia="Calibri" w:hAnsi="Calibri"/>
        <w:color w:val="52707F"/>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7FA0" w:sz="8" w:space="6"/>
      </w:pBdr>
      <w:spacing w:after="100"/>
    </w:pPr>
    <w:r>
      <w:rPr>
        <w:rFonts w:ascii="Georgia" w:cs="Georgia" w:eastAsia="Georgia" w:hAnsi="Georgia"/>
        <w:b/>
        <w:bCs/>
        <w:color w:val="001F3F"/>
        <w:sz w:val="16"/>
        <w:szCs w:val="16"/>
      </w:rPr>
      <w:t xml:space="preserve">ECAHLI GLOBAL HOLDINGS</w:t>
    </w:r>
    <w:r>
      <w:rPr>
        <w:rFonts w:ascii="Calibri" w:cs="Calibri" w:eastAsia="Calibri" w:hAnsi="Calibri"/>
        <w:color w:val="52707F"/>
        <w:sz w:val="16"/>
        <w:szCs w:val="16"/>
      </w:rPr>
      <w:t xml:space="preserve">   ·   Global Procurement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2026-07-07T21:52:22.809Z</dcterms:created>
  <dcterms:modified xsi:type="dcterms:W3CDTF">2026-07-07T21:52:22.809Z</dcterms:modified>
</cp:coreProperties>
</file>

<file path=docProps/custom.xml><?xml version="1.0" encoding="utf-8"?>
<Properties xmlns="http://schemas.openxmlformats.org/officeDocument/2006/custom-properties" xmlns:vt="http://schemas.openxmlformats.org/officeDocument/2006/docPropsVTypes"/>
</file>