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00"/>
      </w:pPr>
      <w:r>
        <w:rPr>
          <w:rFonts w:ascii="Calibri" w:cs="Calibri" w:eastAsia="Calibri" w:hAnsi="Calibri"/>
          <w:b/>
          <w:bCs/>
          <w:color w:val="007FA0"/>
          <w:spacing w:val="20"/>
          <w:sz w:val="20"/>
          <w:szCs w:val="20"/>
        </w:rPr>
        <w:t xml:space="preserve">ECAHLI GLOBAL PROCUREMENT PROGRAMME — GOVERNANCE DOCUMENT</w:t>
      </w:r>
    </w:p>
    <w:p>
      <w:pPr>
        <w:spacing w:after="240"/>
      </w:pPr>
      <w:r>
        <w:rPr>
          <w:rFonts w:ascii="Georgia" w:cs="Georgia" w:eastAsia="Georgia" w:hAnsi="Georgia"/>
          <w:b/>
          <w:bCs/>
          <w:color w:val="001F3F"/>
          <w:sz w:val="52"/>
          <w:szCs w:val="52"/>
        </w:rPr>
        <w:t xml:space="preserve">Ethics &amp; Integrity Statement</w:t>
      </w:r>
    </w:p>
    <w:tbl>
      <w:tblPr>
        <w:tblW w:type="pct" w:w="100%"/>
        <w:tblBorders>
          <w:top w:val="single" w:color="D9E2E8" w:sz="4"/>
          <w:left w:val="none"/>
          <w:bottom w:val="single" w:color="D9E2E8" w:sz="4"/>
          <w:right w:val="none"/>
          <w:insideH w:val="none"/>
          <w:insideV w:val="none"/>
        </w:tblBorders>
      </w:tblPr>
      <w:tblGrid>
        <w:gridCol w:w="100"/>
        <w:gridCol w:w="100"/>
        <w:gridCol w:w="100"/>
        <w:gridCol w:w="100"/>
      </w:tblGrid>
      <w:tr>
        <w:tc>
          <w:tcPr>
            <w:tcW w:type="pct" w:w="25%"/>
            <w:tcMar>
              <w:top w:type="dxa" w:w="160"/>
              <w:left w:type="dxa" w:w="0"/>
              <w:bottom w:type="dxa" w:w="160"/>
              <w:right w:type="dxa" w:w="120"/>
            </w:tcMar>
          </w:tcPr>
          <w:p>
            <w:pPr>
              <w:spacing w:after="40"/>
            </w:pPr>
            <w:r>
              <w:rPr>
                <w:rFonts w:ascii="Calibri" w:cs="Calibri" w:eastAsia="Calibri" w:hAnsi="Calibri"/>
                <w:b/>
                <w:bCs/>
                <w:color w:val="007FA0"/>
                <w:spacing w:val="10"/>
                <w:sz w:val="13"/>
                <w:szCs w:val="13"/>
              </w:rPr>
              <w:t xml:space="preserve">POLICY NUMBER</w:t>
            </w:r>
          </w:p>
          <w:p>
            <w:r>
              <w:rPr>
                <w:rFonts w:ascii="Calibri" w:cs="Calibri" w:eastAsia="Calibri" w:hAnsi="Calibri"/>
                <w:color w:val="001F3F"/>
                <w:sz w:val="17"/>
                <w:szCs w:val="17"/>
              </w:rPr>
              <w:t xml:space="preserve">ECAHLI-PROC-05</w:t>
            </w:r>
          </w:p>
        </w:tc>
        <w:tc>
          <w:tcPr>
            <w:tcW w:type="pct" w:w="25%"/>
            <w:tcMar>
              <w:top w:type="dxa" w:w="160"/>
              <w:left w:type="dxa" w:w="0"/>
              <w:bottom w:type="dxa" w:w="160"/>
              <w:right w:type="dxa" w:w="120"/>
            </w:tcMar>
          </w:tcPr>
          <w:p>
            <w:pPr>
              <w:spacing w:after="40"/>
            </w:pPr>
            <w:r>
              <w:rPr>
                <w:rFonts w:ascii="Calibri" w:cs="Calibri" w:eastAsia="Calibri" w:hAnsi="Calibri"/>
                <w:b/>
                <w:bCs/>
                <w:color w:val="007FA0"/>
                <w:spacing w:val="10"/>
                <w:sz w:val="13"/>
                <w:szCs w:val="13"/>
              </w:rPr>
              <w:t xml:space="preserve">EFFECTIVE DATE</w:t>
            </w:r>
          </w:p>
          <w:p>
            <w:r>
              <w:rPr>
                <w:rFonts w:ascii="Calibri" w:cs="Calibri" w:eastAsia="Calibri" w:hAnsi="Calibri"/>
                <w:color w:val="001F3F"/>
                <w:sz w:val="17"/>
                <w:szCs w:val="17"/>
              </w:rPr>
              <w:t xml:space="preserve">1 August 2026</w:t>
            </w:r>
          </w:p>
        </w:tc>
        <w:tc>
          <w:tcPr>
            <w:tcW w:type="pct" w:w="25%"/>
            <w:tcMar>
              <w:top w:type="dxa" w:w="160"/>
              <w:left w:type="dxa" w:w="0"/>
              <w:bottom w:type="dxa" w:w="160"/>
              <w:right w:type="dxa" w:w="120"/>
            </w:tcMar>
          </w:tcPr>
          <w:p>
            <w:pPr>
              <w:spacing w:after="40"/>
            </w:pPr>
            <w:r>
              <w:rPr>
                <w:rFonts w:ascii="Calibri" w:cs="Calibri" w:eastAsia="Calibri" w:hAnsi="Calibri"/>
                <w:b/>
                <w:bCs/>
                <w:color w:val="007FA0"/>
                <w:spacing w:val="10"/>
                <w:sz w:val="13"/>
                <w:szCs w:val="13"/>
              </w:rPr>
              <w:t xml:space="preserve">VERSION</w:t>
            </w:r>
          </w:p>
          <w:p>
            <w:r>
              <w:rPr>
                <w:rFonts w:ascii="Calibri" w:cs="Calibri" w:eastAsia="Calibri" w:hAnsi="Calibri"/>
                <w:color w:val="001F3F"/>
                <w:sz w:val="17"/>
                <w:szCs w:val="17"/>
              </w:rPr>
              <w:t xml:space="preserve">1.0</w:t>
            </w:r>
          </w:p>
        </w:tc>
        <w:tc>
          <w:tcPr>
            <w:tcW w:type="pct" w:w="25%"/>
            <w:tcMar>
              <w:top w:type="dxa" w:w="160"/>
              <w:left w:type="dxa" w:w="0"/>
              <w:bottom w:type="dxa" w:w="160"/>
              <w:right w:type="dxa" w:w="120"/>
            </w:tcMar>
          </w:tcPr>
          <w:p>
            <w:pPr>
              <w:spacing w:after="40"/>
            </w:pPr>
            <w:r>
              <w:rPr>
                <w:rFonts w:ascii="Calibri" w:cs="Calibri" w:eastAsia="Calibri" w:hAnsi="Calibri"/>
                <w:b/>
                <w:bCs/>
                <w:color w:val="007FA0"/>
                <w:spacing w:val="10"/>
                <w:sz w:val="13"/>
                <w:szCs w:val="13"/>
              </w:rPr>
              <w:t xml:space="preserve">APPROVED BY</w:t>
            </w:r>
          </w:p>
          <w:p>
            <w:r>
              <w:rPr>
                <w:rFonts w:ascii="Calibri" w:cs="Calibri" w:eastAsia="Calibri" w:hAnsi="Calibri"/>
                <w:color w:val="001F3F"/>
                <w:sz w:val="17"/>
                <w:szCs w:val="17"/>
              </w:rPr>
              <w:t xml:space="preserve">P. J. van der Merwe, Founder &amp; Lifelong Chair</w:t>
            </w:r>
          </w:p>
        </w:tc>
      </w:tr>
    </w:tbl>
    <w:p>
      <w:pPr>
        <w:pBdr>
          <w:left w:val="single" w:color="C9A24C" w:sz="24" w:space="8"/>
        </w:pBdr>
        <w:shd w:fill="FFF8E6" w:val="clear"/>
        <w:spacing w:after="360" w:before="140"/>
      </w:pPr>
      <w:r>
        <w:rPr>
          <w:rFonts w:ascii="Calibri" w:cs="Calibri" w:eastAsia="Calibri" w:hAnsi="Calibri"/>
          <w:b/>
          <w:bCs/>
          <w:color w:val="8A6A1F"/>
          <w:sz w:val="17"/>
          <w:szCs w:val="17"/>
        </w:rPr>
        <w:t xml:space="preserve">LEGAL REVIEW STATUS: </w:t>
      </w:r>
      <w:r>
        <w:rPr>
          <w:rFonts w:ascii="Calibri" w:cs="Calibri" w:eastAsia="Calibri" w:hAnsi="Calibri"/>
          <w:color w:val="8A6A1F"/>
          <w:sz w:val="17"/>
          <w:szCs w:val="17"/>
        </w:rPr>
        <w:t xml:space="preserve">Draft — pending review by external counsel prior to formal adoption. Not yet binding.</w:t>
      </w:r>
    </w:p>
    <w:p>
      <w:pPr>
        <w:pStyle w:val="Heading1"/>
        <w:pBdr>
          <w:bottom w:val="single" w:color="D9E2E8" w:sz="4" w:space="4"/>
        </w:pBdr>
        <w:spacing w:after="140" w:before="320"/>
      </w:pPr>
      <w:r>
        <w:rPr>
          <w:rFonts w:ascii="Georgia" w:cs="Georgia" w:eastAsia="Georgia" w:hAnsi="Georgia"/>
          <w:b/>
          <w:bCs/>
          <w:color w:val="001F3F"/>
          <w:sz w:val="28"/>
          <w:szCs w:val="28"/>
        </w:rPr>
        <w:t xml:space="preserve">1. Our Commitment</w:t>
      </w:r>
    </w:p>
    <w:p>
      <w:pPr>
        <w:spacing w:after="160" w:line="280"/>
      </w:pPr>
      <w:r>
        <w:rPr>
          <w:rFonts w:ascii="Calibri" w:cs="Calibri" w:eastAsia="Calibri" w:hAnsi="Calibri"/>
          <w:i w:val="false"/>
          <w:iCs w:val="false"/>
          <w:color w:val="1A1A1A"/>
          <w:sz w:val="21"/>
          <w:szCs w:val="21"/>
        </w:rPr>
        <w:t xml:space="preserve">ECAHLI Global Holdings exists to build institutional-grade, self-sustaining communities across Africa, Latin America, and Europe. That mission depends on the trust of the people, partners, investors, and vendors we work with. This Statement sets out the standard of conduct ECAHLI holds itself to, and expects from everyone engaging with the Global Procurement Programme.</w:t>
      </w:r>
    </w:p>
    <w:p>
      <w:pPr>
        <w:pStyle w:val="Heading1"/>
        <w:pBdr>
          <w:bottom w:val="single" w:color="D9E2E8" w:sz="4" w:space="4"/>
        </w:pBdr>
        <w:spacing w:after="140" w:before="320"/>
      </w:pPr>
      <w:r>
        <w:rPr>
          <w:rFonts w:ascii="Georgia" w:cs="Georgia" w:eastAsia="Georgia" w:hAnsi="Georgia"/>
          <w:b/>
          <w:bCs/>
          <w:color w:val="001F3F"/>
          <w:sz w:val="28"/>
          <w:szCs w:val="28"/>
        </w:rPr>
        <w:t xml:space="preserve">2. Fair Competition</w:t>
      </w:r>
    </w:p>
    <w:p>
      <w:pPr>
        <w:spacing w:after="160" w:line="280"/>
      </w:pPr>
      <w:r>
        <w:rPr>
          <w:rFonts w:ascii="Calibri" w:cs="Calibri" w:eastAsia="Calibri" w:hAnsi="Calibri"/>
          <w:i w:val="false"/>
          <w:iCs w:val="false"/>
          <w:color w:val="1A1A1A"/>
          <w:sz w:val="21"/>
          <w:szCs w:val="21"/>
        </w:rPr>
        <w:t xml:space="preserve">Every vendor that engages with ECAHLI is entitled to a fair, transparent, and equal opportunity to compete for work, evaluated strictly against published criteria.</w:t>
      </w:r>
    </w:p>
    <w:p>
      <w:pPr>
        <w:pStyle w:val="Heading1"/>
        <w:pBdr>
          <w:bottom w:val="single" w:color="D9E2E8" w:sz="4" w:space="4"/>
        </w:pBdr>
        <w:spacing w:after="140" w:before="320"/>
      </w:pPr>
      <w:r>
        <w:rPr>
          <w:rFonts w:ascii="Georgia" w:cs="Georgia" w:eastAsia="Georgia" w:hAnsi="Georgia"/>
          <w:b/>
          <w:bCs/>
          <w:color w:val="001F3F"/>
          <w:sz w:val="28"/>
          <w:szCs w:val="28"/>
        </w:rPr>
        <w:t xml:space="preserve">3. Transparency</w:t>
      </w:r>
    </w:p>
    <w:p>
      <w:pPr>
        <w:spacing w:after="160" w:line="280"/>
      </w:pPr>
      <w:r>
        <w:rPr>
          <w:rFonts w:ascii="Calibri" w:cs="Calibri" w:eastAsia="Calibri" w:hAnsi="Calibri"/>
          <w:i w:val="false"/>
          <w:iCs w:val="false"/>
          <w:color w:val="1A1A1A"/>
          <w:sz w:val="21"/>
          <w:szCs w:val="21"/>
        </w:rPr>
        <w:t xml:space="preserve">Procurement decisions are documented, evaluation criteria are published in advance, and outcomes are communicated to every bidder. Where questions arise, ECAHLI provides a clear route for clarification and, where appropriate, appeal.</w:t>
      </w:r>
    </w:p>
    <w:p>
      <w:pPr>
        <w:pStyle w:val="Heading1"/>
        <w:pBdr>
          <w:bottom w:val="single" w:color="D9E2E8" w:sz="4" w:space="4"/>
        </w:pBdr>
        <w:spacing w:after="140" w:before="320"/>
      </w:pPr>
      <w:r>
        <w:rPr>
          <w:rFonts w:ascii="Georgia" w:cs="Georgia" w:eastAsia="Georgia" w:hAnsi="Georgia"/>
          <w:b/>
          <w:bCs/>
          <w:color w:val="001F3F"/>
          <w:sz w:val="28"/>
          <w:szCs w:val="28"/>
        </w:rPr>
        <w:t xml:space="preserve">4. Accountability</w:t>
      </w:r>
    </w:p>
    <w:p>
      <w:pPr>
        <w:spacing w:after="160" w:line="280"/>
      </w:pPr>
      <w:r>
        <w:rPr>
          <w:rFonts w:ascii="Calibri" w:cs="Calibri" w:eastAsia="Calibri" w:hAnsi="Calibri"/>
          <w:i w:val="false"/>
          <w:iCs w:val="false"/>
          <w:color w:val="1A1A1A"/>
          <w:sz w:val="21"/>
          <w:szCs w:val="21"/>
        </w:rPr>
        <w:t xml:space="preserve">Every procurement decision above the Request for Quotation threshold is subject to independent evaluation and delegated approval, ensuring no single individual controls the outcome of a significant award.</w:t>
      </w:r>
    </w:p>
    <w:p>
      <w:pPr>
        <w:pStyle w:val="Heading1"/>
        <w:pBdr>
          <w:bottom w:val="single" w:color="D9E2E8" w:sz="4" w:space="4"/>
        </w:pBdr>
        <w:spacing w:after="140" w:before="320"/>
      </w:pPr>
      <w:r>
        <w:rPr>
          <w:rFonts w:ascii="Georgia" w:cs="Georgia" w:eastAsia="Georgia" w:hAnsi="Georgia"/>
          <w:b/>
          <w:bCs/>
          <w:color w:val="001F3F"/>
          <w:sz w:val="28"/>
          <w:szCs w:val="28"/>
        </w:rPr>
        <w:t xml:space="preserve">5. Respect for People</w:t>
      </w:r>
    </w:p>
    <w:p>
      <w:pPr>
        <w:spacing w:after="160" w:line="280"/>
      </w:pPr>
      <w:r>
        <w:rPr>
          <w:rFonts w:ascii="Calibri" w:cs="Calibri" w:eastAsia="Calibri" w:hAnsi="Calibri"/>
          <w:i w:val="false"/>
          <w:iCs w:val="false"/>
          <w:color w:val="1A1A1A"/>
          <w:sz w:val="21"/>
          <w:szCs w:val="21"/>
        </w:rPr>
        <w:t xml:space="preserve">ECAHLI expects every vendor, contractor, and partner to uphold fair labour practices, workplace safety, and respect for the communities in which they operate, consistent with the standards ECAHLI applies to its own workforce under the ECAHLI Community Handbook.</w:t>
      </w:r>
    </w:p>
    <w:p>
      <w:pPr>
        <w:pStyle w:val="Heading1"/>
        <w:pBdr>
          <w:bottom w:val="single" w:color="D9E2E8" w:sz="4" w:space="4"/>
        </w:pBdr>
        <w:spacing w:after="140" w:before="320"/>
      </w:pPr>
      <w:r>
        <w:rPr>
          <w:rFonts w:ascii="Georgia" w:cs="Georgia" w:eastAsia="Georgia" w:hAnsi="Georgia"/>
          <w:b/>
          <w:bCs/>
          <w:color w:val="001F3F"/>
          <w:sz w:val="28"/>
          <w:szCs w:val="28"/>
        </w:rPr>
        <w:t xml:space="preserve">6. Environmental &amp; Social Responsibility</w:t>
      </w:r>
    </w:p>
    <w:p>
      <w:pPr>
        <w:spacing w:after="160" w:line="280"/>
      </w:pPr>
      <w:r>
        <w:rPr>
          <w:rFonts w:ascii="Calibri" w:cs="Calibri" w:eastAsia="Calibri" w:hAnsi="Calibri"/>
          <w:i w:val="false"/>
          <w:iCs w:val="false"/>
          <w:color w:val="1A1A1A"/>
          <w:sz w:val="21"/>
          <w:szCs w:val="21"/>
        </w:rPr>
        <w:t xml:space="preserve">Sustainability and ESG performance are evaluated as part of every significant procurement decision, reflecting ECAHLI's core mission of building green, sustainable economic ecosystems.</w:t>
      </w:r>
    </w:p>
    <w:p>
      <w:pPr>
        <w:pStyle w:val="Heading1"/>
        <w:pBdr>
          <w:bottom w:val="single" w:color="D9E2E8" w:sz="4" w:space="4"/>
        </w:pBdr>
        <w:spacing w:after="140" w:before="320"/>
      </w:pPr>
      <w:r>
        <w:rPr>
          <w:rFonts w:ascii="Georgia" w:cs="Georgia" w:eastAsia="Georgia" w:hAnsi="Georgia"/>
          <w:b/>
          <w:bCs/>
          <w:color w:val="001F3F"/>
          <w:sz w:val="28"/>
          <w:szCs w:val="28"/>
        </w:rPr>
        <w:t xml:space="preserve">7. A Standing Invitation</w:t>
      </w:r>
    </w:p>
    <w:p>
      <w:pPr>
        <w:spacing w:after="160" w:line="280"/>
      </w:pPr>
      <w:r>
        <w:rPr>
          <w:rFonts w:ascii="Calibri" w:cs="Calibri" w:eastAsia="Calibri" w:hAnsi="Calibri"/>
          <w:i w:val="false"/>
          <w:iCs w:val="false"/>
          <w:color w:val="1A1A1A"/>
          <w:sz w:val="21"/>
          <w:szCs w:val="21"/>
        </w:rPr>
        <w:t xml:space="preserve">If at any point a vendor, partner, or member of the public believes ECAHLI has fallen short of these standards, we want to hear about it. Concerns can be raised directly with the Procurement team at tenders.africa@ecahli.com, and every concern raised in good faith will be taken seriously.</w:t>
      </w:r>
    </w:p>
    <w:sectPr>
      <w:headerReference w:type="default" r:id="rId7"/>
      <w:footerReference w:type="default" r:id="rId8"/>
      <w:pgSz w:w="12240" w:h="15840"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E2E8" w:sz="4" w:space="6"/>
      </w:pBdr>
      <w:spacing w:before="100"/>
    </w:pPr>
    <w:r>
      <w:rPr>
        <w:rFonts w:ascii="Calibri" w:cs="Calibri" w:eastAsia="Calibri" w:hAnsi="Calibri"/>
        <w:color w:val="52707F"/>
        <w:sz w:val="15"/>
        <w:szCs w:val="15"/>
      </w:rPr>
      <w:t xml:space="preserve">ECAHLI Global Holdings · Dutch Stichting · tenders.africa@ecahli.com</w:t>
    </w:r>
  </w:p>
  <w:p>
    <w:pPr>
      <w:jc w:val="right"/>
    </w:pPr>
    <w:r>
      <w:rPr>
        <w:rFonts w:ascii="Calibri" w:cs="Calibri" w:eastAsia="Calibri" w:hAnsi="Calibri"/>
        <w:color w:val="52707F"/>
        <w:sz w:val="15"/>
        <w:szCs w:val="15"/>
      </w:rPr>
      <w:t xml:space="preserve">Page </w:t>
    </w:r>
    <w:r>
      <w:rPr>
        <w:rFonts w:ascii="Calibri" w:cs="Calibri" w:eastAsia="Calibri" w:hAnsi="Calibri"/>
        <w:color w:val="52707F"/>
        <w:sz w:val="15"/>
        <w:szCs w:val="15"/>
      </w:rPr>
      <w:fldChar w:fldCharType="begin"/>
      <w:instrText xml:space="preserve">PAGE</w:instrText>
      <w:fldChar w:fldCharType="separate"/>
      <w:fldChar w:fldCharType="end"/>
    </w:r>
    <w:r>
      <w:rPr>
        <w:rFonts w:ascii="Calibri" w:cs="Calibri" w:eastAsia="Calibri" w:hAnsi="Calibri"/>
        <w:color w:val="52707F"/>
        <w:sz w:val="15"/>
        <w:szCs w:val="15"/>
      </w:rPr>
      <w:t xml:space="preserve"> of </w:t>
    </w:r>
    <w:r>
      <w:rPr>
        <w:rFonts w:ascii="Calibri" w:cs="Calibri" w:eastAsia="Calibri" w:hAnsi="Calibri"/>
        <w:color w:val="52707F"/>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7FA0" w:sz="8" w:space="6"/>
      </w:pBdr>
      <w:spacing w:after="100"/>
    </w:pPr>
    <w:r>
      <w:rPr>
        <w:rFonts w:ascii="Georgia" w:cs="Georgia" w:eastAsia="Georgia" w:hAnsi="Georgia"/>
        <w:b/>
        <w:bCs/>
        <w:color w:val="001F3F"/>
        <w:sz w:val="16"/>
        <w:szCs w:val="16"/>
      </w:rPr>
      <w:t xml:space="preserve">ECAHLI GLOBAL HOLDINGS</w:t>
    </w:r>
    <w:r>
      <w:rPr>
        <w:rFonts w:ascii="Calibri" w:cs="Calibri" w:eastAsia="Calibri" w:hAnsi="Calibri"/>
        <w:color w:val="52707F"/>
        <w:sz w:val="16"/>
        <w:szCs w:val="16"/>
      </w:rPr>
      <w:t xml:space="preserve">   ·   Global Procurement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88"/>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2026-07-07T21:52:22.785Z</dcterms:created>
  <dcterms:modified xsi:type="dcterms:W3CDTF">2026-07-07T21:52:22.785Z</dcterms:modified>
</cp:coreProperties>
</file>

<file path=docProps/custom.xml><?xml version="1.0" encoding="utf-8"?>
<Properties xmlns="http://schemas.openxmlformats.org/officeDocument/2006/custom-properties" xmlns:vt="http://schemas.openxmlformats.org/officeDocument/2006/docPropsVTypes"/>
</file>