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00"/>
      </w:pPr>
      <w:r>
        <w:rPr>
          <w:rFonts w:ascii="Calibri" w:cs="Calibri" w:eastAsia="Calibri" w:hAnsi="Calibri"/>
          <w:b/>
          <w:bCs/>
          <w:color w:val="007FA0"/>
          <w:spacing w:val="20"/>
          <w:sz w:val="20"/>
          <w:szCs w:val="20"/>
        </w:rPr>
        <w:t xml:space="preserve">ECAHLI GLOBAL PROCUREMENT PROGRAMME — GOVERNANCE DOCUMENT</w:t>
      </w:r>
    </w:p>
    <w:p>
      <w:pPr>
        <w:spacing w:after="240"/>
      </w:pPr>
      <w:r>
        <w:rPr>
          <w:rFonts w:ascii="Georgia" w:cs="Georgia" w:eastAsia="Georgia" w:hAnsi="Georgia"/>
          <w:b/>
          <w:bCs/>
          <w:color w:val="001F3F"/>
          <w:sz w:val="52"/>
          <w:szCs w:val="52"/>
        </w:rPr>
        <w:t xml:space="preserve">Anti-Bribery &amp; Anti-Corruption Policy</w:t>
      </w:r>
    </w:p>
    <w:tbl>
      <w:tblPr>
        <w:tblW w:type="pct" w:w="100%"/>
        <w:tblBorders>
          <w:top w:val="single" w:color="D9E2E8" w:sz="4"/>
          <w:left w:val="none"/>
          <w:bottom w:val="single" w:color="D9E2E8" w:sz="4"/>
          <w:right w:val="none"/>
          <w:insideH w:val="none"/>
          <w:insideV w:val="none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tcMar>
              <w:top w:type="dxa" w:w="160"/>
              <w:left w:type="dxa" w:w="0"/>
              <w:bottom w:type="dxa" w:w="16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07FA0"/>
                <w:spacing w:val="10"/>
                <w:sz w:val="13"/>
                <w:szCs w:val="13"/>
              </w:rPr>
              <w:t xml:space="preserve">POLICY NUMBER</w:t>
            </w:r>
          </w:p>
          <w:p>
            <w:r>
              <w:rPr>
                <w:rFonts w:ascii="Calibri" w:cs="Calibri" w:eastAsia="Calibri" w:hAnsi="Calibri"/>
                <w:color w:val="001F3F"/>
                <w:sz w:val="17"/>
                <w:szCs w:val="17"/>
              </w:rPr>
              <w:t xml:space="preserve">ECAHLI-PROC-04</w:t>
            </w:r>
          </w:p>
        </w:tc>
        <w:tc>
          <w:tcPr>
            <w:tcW w:type="pct" w:w="25%"/>
            <w:tcMar>
              <w:top w:type="dxa" w:w="160"/>
              <w:left w:type="dxa" w:w="0"/>
              <w:bottom w:type="dxa" w:w="16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07FA0"/>
                <w:spacing w:val="10"/>
                <w:sz w:val="13"/>
                <w:szCs w:val="13"/>
              </w:rPr>
              <w:t xml:space="preserve">EFFECTIVE DATE</w:t>
            </w:r>
          </w:p>
          <w:p>
            <w:r>
              <w:rPr>
                <w:rFonts w:ascii="Calibri" w:cs="Calibri" w:eastAsia="Calibri" w:hAnsi="Calibri"/>
                <w:color w:val="001F3F"/>
                <w:sz w:val="17"/>
                <w:szCs w:val="17"/>
              </w:rPr>
              <w:t xml:space="preserve">1 August 2026</w:t>
            </w:r>
          </w:p>
        </w:tc>
        <w:tc>
          <w:tcPr>
            <w:tcW w:type="pct" w:w="25%"/>
            <w:tcMar>
              <w:top w:type="dxa" w:w="160"/>
              <w:left w:type="dxa" w:w="0"/>
              <w:bottom w:type="dxa" w:w="16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07FA0"/>
                <w:spacing w:val="10"/>
                <w:sz w:val="13"/>
                <w:szCs w:val="13"/>
              </w:rPr>
              <w:t xml:space="preserve">VERSION</w:t>
            </w:r>
          </w:p>
          <w:p>
            <w:r>
              <w:rPr>
                <w:rFonts w:ascii="Calibri" w:cs="Calibri" w:eastAsia="Calibri" w:hAnsi="Calibri"/>
                <w:color w:val="001F3F"/>
                <w:sz w:val="17"/>
                <w:szCs w:val="17"/>
              </w:rPr>
              <w:t xml:space="preserve">1.0</w:t>
            </w:r>
          </w:p>
        </w:tc>
        <w:tc>
          <w:tcPr>
            <w:tcW w:type="pct" w:w="25%"/>
            <w:tcMar>
              <w:top w:type="dxa" w:w="160"/>
              <w:left w:type="dxa" w:w="0"/>
              <w:bottom w:type="dxa" w:w="16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07FA0"/>
                <w:spacing w:val="10"/>
                <w:sz w:val="13"/>
                <w:szCs w:val="13"/>
              </w:rPr>
              <w:t xml:space="preserve">APPROVED BY</w:t>
            </w:r>
          </w:p>
          <w:p>
            <w:r>
              <w:rPr>
                <w:rFonts w:ascii="Calibri" w:cs="Calibri" w:eastAsia="Calibri" w:hAnsi="Calibri"/>
                <w:color w:val="001F3F"/>
                <w:sz w:val="17"/>
                <w:szCs w:val="17"/>
              </w:rPr>
              <w:t xml:space="preserve">P. J. van der Merwe, Founder &amp; Lifelong Chair</w:t>
            </w:r>
          </w:p>
        </w:tc>
      </w:tr>
    </w:tbl>
    <w:p>
      <w:pPr>
        <w:pBdr>
          <w:left w:val="single" w:color="C9A24C" w:sz="24" w:space="8"/>
        </w:pBdr>
        <w:shd w:fill="FFF8E6" w:val="clear"/>
        <w:spacing w:after="360" w:before="140"/>
      </w:pPr>
      <w:r>
        <w:rPr>
          <w:rFonts w:ascii="Calibri" w:cs="Calibri" w:eastAsia="Calibri" w:hAnsi="Calibri"/>
          <w:b/>
          <w:bCs/>
          <w:color w:val="8A6A1F"/>
          <w:sz w:val="17"/>
          <w:szCs w:val="17"/>
        </w:rPr>
        <w:t xml:space="preserve">LEGAL REVIEW STATUS: </w:t>
      </w:r>
      <w:r>
        <w:rPr>
          <w:rFonts w:ascii="Calibri" w:cs="Calibri" w:eastAsia="Calibri" w:hAnsi="Calibri"/>
          <w:color w:val="8A6A1F"/>
          <w:sz w:val="17"/>
          <w:szCs w:val="17"/>
        </w:rPr>
        <w:t xml:space="preserve">Draft — pending review by external counsel prior to formal adoption. Not yet binding.</w:t>
      </w:r>
    </w:p>
    <w:p>
      <w:pPr>
        <w:pStyle w:val="Heading1"/>
        <w:pBdr>
          <w:bottom w:val="single" w:color="D9E2E8" w:sz="4" w:space="4"/>
        </w:pBdr>
        <w:spacing w:after="140" w:before="320"/>
      </w:pPr>
      <w:r>
        <w:rPr>
          <w:rFonts w:ascii="Georgia" w:cs="Georgia" w:eastAsia="Georgia" w:hAnsi="Georgia"/>
          <w:b/>
          <w:bCs/>
          <w:color w:val="001F3F"/>
          <w:sz w:val="28"/>
          <w:szCs w:val="28"/>
        </w:rPr>
        <w:t xml:space="preserve">1. Purpose</w:t>
      </w:r>
    </w:p>
    <w:p>
      <w:pPr>
        <w:spacing w:after="160" w:line="28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ECAHLI Global Holdings applies a zero-tolerance standard to bribery and corruption in all forms, across every jurisdiction in which it operates. This Policy sets out the standards expected of staff, directors, vendors, and partners.</w:t>
      </w:r>
    </w:p>
    <w:p>
      <w:pPr>
        <w:pStyle w:val="Heading1"/>
        <w:pBdr>
          <w:bottom w:val="single" w:color="D9E2E8" w:sz="4" w:space="4"/>
        </w:pBdr>
        <w:spacing w:after="140" w:before="320"/>
      </w:pPr>
      <w:r>
        <w:rPr>
          <w:rFonts w:ascii="Georgia" w:cs="Georgia" w:eastAsia="Georgia" w:hAnsi="Georgia"/>
          <w:b/>
          <w:bCs/>
          <w:color w:val="001F3F"/>
          <w:sz w:val="28"/>
          <w:szCs w:val="28"/>
        </w:rPr>
        <w:t xml:space="preserve">2. Scope</w:t>
      </w:r>
    </w:p>
    <w:p>
      <w:pPr>
        <w:spacing w:after="160" w:line="28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This Policy applies to all ECAHLI entities, staff, directors, and to every vendor, contractor, consultant, or partner engaging with ECAHLI through the Global Procurement Programme or otherwise.</w:t>
      </w:r>
    </w:p>
    <w:p>
      <w:pPr>
        <w:pStyle w:val="Heading1"/>
        <w:pBdr>
          <w:bottom w:val="single" w:color="D9E2E8" w:sz="4" w:space="4"/>
        </w:pBdr>
        <w:spacing w:after="140" w:before="320"/>
      </w:pPr>
      <w:r>
        <w:rPr>
          <w:rFonts w:ascii="Georgia" w:cs="Georgia" w:eastAsia="Georgia" w:hAnsi="Georgia"/>
          <w:b/>
          <w:bCs/>
          <w:color w:val="001F3F"/>
          <w:sz w:val="28"/>
          <w:szCs w:val="28"/>
        </w:rPr>
        <w:t xml:space="preserve">3. Prohibited Conduct</w:t>
      </w:r>
    </w:p>
    <w:p>
      <w:pPr>
        <w:spacing w:after="160" w:line="28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No ECAHLI staff member, director, or representative may offer, give, solicit, or accept any bribe, kickback, or improper payment, directly or through a third party, in connection with any ECAHLI business, including but not limited to: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Payments or benefits intended to influence a procurement, licensing, permitting, or regulatory decision.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Facilitation payments to expedite routine government or administrative action.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Political contributions made on ECAHLI's behalf without prior Board approval.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Use of intermediaries, agents, or consultants to conceal an otherwise prohibited payment.</w:t>
      </w:r>
    </w:p>
    <w:p>
      <w:pPr>
        <w:pStyle w:val="Heading1"/>
        <w:pBdr>
          <w:bottom w:val="single" w:color="D9E2E8" w:sz="4" w:space="4"/>
        </w:pBdr>
        <w:spacing w:after="140" w:before="320"/>
      </w:pPr>
      <w:r>
        <w:rPr>
          <w:rFonts w:ascii="Georgia" w:cs="Georgia" w:eastAsia="Georgia" w:hAnsi="Georgia"/>
          <w:b/>
          <w:bCs/>
          <w:color w:val="001F3F"/>
          <w:sz w:val="28"/>
          <w:szCs w:val="28"/>
        </w:rPr>
        <w:t xml:space="preserve">4. Gifts and Hospitality</w:t>
      </w:r>
    </w:p>
    <w:p>
      <w:pPr>
        <w:spacing w:after="160" w:line="28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Modest, transparent gifts and hospitality consistent with normal business courtesy are permitted, provided they are not intended to improperly influence a decision. Any gift or hospitality above nominal value (equivalent to €50) offered or received in connection with a procurement process must be declared to the Legal &amp; Compliance Manager and recorded in a Gifts &amp; Hospitality Register.</w:t>
      </w:r>
    </w:p>
    <w:p>
      <w:pPr>
        <w:pStyle w:val="Heading1"/>
        <w:pBdr>
          <w:bottom w:val="single" w:color="D9E2E8" w:sz="4" w:space="4"/>
        </w:pBdr>
        <w:spacing w:after="140" w:before="320"/>
      </w:pPr>
      <w:r>
        <w:rPr>
          <w:rFonts w:ascii="Georgia" w:cs="Georgia" w:eastAsia="Georgia" w:hAnsi="Georgia"/>
          <w:b/>
          <w:bCs/>
          <w:color w:val="001F3F"/>
          <w:sz w:val="28"/>
          <w:szCs w:val="28"/>
        </w:rPr>
        <w:t xml:space="preserve">5. Vendor Requirements</w:t>
      </w:r>
    </w:p>
    <w:p>
      <w:pPr>
        <w:spacing w:after="160" w:line="28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As a condition of participation in ECAHLI procurement, every vendor confirms in writing that it: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Has not offered, and will not offer, any improper payment or benefit to any ECAHLI staff member, director, or representative.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Maintains its own internal controls reasonably designed to prevent bribery and corruption within its own organisation.</w:t>
      </w:r>
    </w:p>
    <w:p>
      <w:pPr>
        <w:pStyle w:val="ListParagraph"/>
        <w:numPr>
          <w:ilvl w:val="0"/>
          <w:numId w:val="2"/>
        </w:numPr>
        <w:spacing w:after="90" w:line="27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Will notify ECAHLI immediately if it becomes aware of any solicitation of an improper payment by anyone acting on ECAHLI's behalf.</w:t>
      </w:r>
    </w:p>
    <w:p>
      <w:pPr>
        <w:pStyle w:val="Heading1"/>
        <w:pBdr>
          <w:bottom w:val="single" w:color="D9E2E8" w:sz="4" w:space="4"/>
        </w:pBdr>
        <w:spacing w:after="140" w:before="320"/>
      </w:pPr>
      <w:r>
        <w:rPr>
          <w:rFonts w:ascii="Georgia" w:cs="Georgia" w:eastAsia="Georgia" w:hAnsi="Georgia"/>
          <w:b/>
          <w:bCs/>
          <w:color w:val="001F3F"/>
          <w:sz w:val="28"/>
          <w:szCs w:val="28"/>
        </w:rPr>
        <w:t xml:space="preserve">6. Reporting Concerns</w:t>
      </w:r>
    </w:p>
    <w:p>
      <w:pPr>
        <w:spacing w:after="160" w:line="28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Any staff member, director, vendor, or member of the public who becomes aware of suspected bribery or corruption connected to ECAHLI is encouraged to report it in confidence to legal@ecahli.com or tenders.africa@ecahli.com. Reports are treated confidentially and no individual will suffer retaliation for a good-faith report made under this Policy.</w:t>
      </w:r>
    </w:p>
    <w:p>
      <w:pPr>
        <w:pStyle w:val="Heading1"/>
        <w:pBdr>
          <w:bottom w:val="single" w:color="D9E2E8" w:sz="4" w:space="4"/>
        </w:pBdr>
        <w:spacing w:after="140" w:before="320"/>
      </w:pPr>
      <w:r>
        <w:rPr>
          <w:rFonts w:ascii="Georgia" w:cs="Georgia" w:eastAsia="Georgia" w:hAnsi="Georgia"/>
          <w:b/>
          <w:bCs/>
          <w:color w:val="001F3F"/>
          <w:sz w:val="28"/>
          <w:szCs w:val="28"/>
        </w:rPr>
        <w:t xml:space="preserve">7. Consequences of Breach</w:t>
      </w:r>
    </w:p>
    <w:p>
      <w:pPr>
        <w:spacing w:after="160" w:line="28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Breach of this Policy by ECAHLI personnel is grounds for immediate disciplinary action, up to and including termination. Breach by a vendor is grounds for immediate contract termination, exclusion from future procurement, and referral to the relevant law enforcement or regulatory authority.</w:t>
      </w:r>
    </w:p>
    <w:p>
      <w:pPr>
        <w:pStyle w:val="Heading1"/>
        <w:pBdr>
          <w:bottom w:val="single" w:color="D9E2E8" w:sz="4" w:space="4"/>
        </w:pBdr>
        <w:spacing w:after="140" w:before="320"/>
      </w:pPr>
      <w:r>
        <w:rPr>
          <w:rFonts w:ascii="Georgia" w:cs="Georgia" w:eastAsia="Georgia" w:hAnsi="Georgia"/>
          <w:b/>
          <w:bCs/>
          <w:color w:val="001F3F"/>
          <w:sz w:val="28"/>
          <w:szCs w:val="28"/>
        </w:rPr>
        <w:t xml:space="preserve">8. Review</w:t>
      </w:r>
    </w:p>
    <w:p>
      <w:pPr>
        <w:spacing w:after="160" w:line="280"/>
      </w:pPr>
      <w:r>
        <w:rPr>
          <w:rFonts w:ascii="Calibri" w:cs="Calibri" w:eastAsia="Calibri" w:hAnsi="Calibri"/>
          <w:i w:val="false"/>
          <w:iCs w:val="false"/>
          <w:color w:val="1A1A1A"/>
          <w:sz w:val="21"/>
          <w:szCs w:val="21"/>
        </w:rPr>
        <w:t xml:space="preserve">This Policy is reviewed annually by the Board.</w:t>
      </w:r>
    </w:p>
    <w:sectPr>
      <w:headerReference w:type="default" r:id="rId7"/>
      <w:footerReference w:type="default" r:id="rId8"/>
      <w:pgSz w:w="12240" w:h="15840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E2E8" w:sz="4" w:space="6"/>
      </w:pBdr>
      <w:spacing w:before="100"/>
    </w:pPr>
    <w:r>
      <w:rPr>
        <w:rFonts w:ascii="Calibri" w:cs="Calibri" w:eastAsia="Calibri" w:hAnsi="Calibri"/>
        <w:color w:val="52707F"/>
        <w:sz w:val="15"/>
        <w:szCs w:val="15"/>
      </w:rPr>
      <w:t xml:space="preserve">ECAHLI Global Holdings · Dutch Stichting · tenders.africa@ecahli.com</w:t>
    </w:r>
  </w:p>
  <w:p>
    <w:pPr>
      <w:jc w:val="right"/>
    </w:pPr>
    <w:r>
      <w:rPr>
        <w:rFonts w:ascii="Calibri" w:cs="Calibri" w:eastAsia="Calibri" w:hAnsi="Calibri"/>
        <w:color w:val="52707F"/>
        <w:sz w:val="15"/>
        <w:szCs w:val="15"/>
      </w:rPr>
      <w:t xml:space="preserve">Page </w:t>
    </w:r>
    <w:r>
      <w:rPr>
        <w:rFonts w:ascii="Calibri" w:cs="Calibri" w:eastAsia="Calibri" w:hAnsi="Calibri"/>
        <w:color w:val="52707F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2707F"/>
        <w:sz w:val="15"/>
        <w:szCs w:val="15"/>
      </w:rPr>
      <w:t xml:space="preserve"> of </w:t>
    </w:r>
    <w:r>
      <w:rPr>
        <w:rFonts w:ascii="Calibri" w:cs="Calibri" w:eastAsia="Calibri" w:hAnsi="Calibri"/>
        <w:color w:val="52707F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7FA0" w:sz="8" w:space="6"/>
      </w:pBdr>
      <w:spacing w:after="100"/>
    </w:pPr>
    <w:r>
      <w:rPr>
        <w:rFonts w:ascii="Georgia" w:cs="Georgia" w:eastAsia="Georgia" w:hAnsi="Georgia"/>
        <w:b/>
        <w:bCs/>
        <w:color w:val="001F3F"/>
        <w:sz w:val="16"/>
        <w:szCs w:val="16"/>
      </w:rPr>
      <w:t xml:space="preserve">ECAHLI GLOBAL HOLDINGS</w:t>
    </w:r>
    <w:r>
      <w:rPr>
        <w:rFonts w:ascii="Calibri" w:cs="Calibri" w:eastAsia="Calibri" w:hAnsi="Calibri"/>
        <w:color w:val="52707F"/>
        <w:sz w:val="16"/>
        <w:szCs w:val="16"/>
      </w:rPr>
      <w:t xml:space="preserve">   ·   Global Procurement Programme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31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2026-07-07T21:52:22.761Z</dcterms:created>
  <dcterms:modified xsi:type="dcterms:W3CDTF">2026-07-07T21:52:22.761Z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